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AD2199" w:rsidRDefault="0046491C" w:rsidP="00E34F08">
      <w:pPr>
        <w:spacing w:after="0" w:line="360" w:lineRule="auto"/>
        <w:jc w:val="both"/>
        <w:rPr>
          <w:rFonts w:ascii="Palatino Linotype" w:hAnsi="Palatino Linotype" w:cs="Arial"/>
          <w:sz w:val="24"/>
          <w:szCs w:val="24"/>
        </w:rPr>
      </w:pPr>
      <w:r w:rsidRPr="00AD2199">
        <w:rPr>
          <w:rFonts w:ascii="Palatino Linotype" w:hAnsi="Palatino Linotype" w:cs="Arial"/>
          <w:b/>
          <w:sz w:val="24"/>
          <w:szCs w:val="24"/>
        </w:rPr>
        <w:t>VOTO PARTICULAR DEL COMISIONADO JOSÉ GUADA</w:t>
      </w:r>
      <w:r w:rsidR="00823722" w:rsidRPr="00AD2199">
        <w:rPr>
          <w:rFonts w:ascii="Palatino Linotype" w:hAnsi="Palatino Linotype" w:cs="Arial"/>
          <w:b/>
          <w:sz w:val="24"/>
          <w:szCs w:val="24"/>
        </w:rPr>
        <w:t>LUPE LUNA HERNÁNDEZ EN EL</w:t>
      </w:r>
      <w:r w:rsidR="00D72985" w:rsidRPr="00AD2199">
        <w:rPr>
          <w:rFonts w:ascii="Palatino Linotype" w:hAnsi="Palatino Linotype" w:cs="Arial"/>
          <w:b/>
          <w:sz w:val="24"/>
          <w:szCs w:val="24"/>
        </w:rPr>
        <w:t xml:space="preserve"> RECURSO</w:t>
      </w:r>
      <w:r w:rsidR="00BF3534" w:rsidRPr="00AD2199">
        <w:rPr>
          <w:rFonts w:ascii="Palatino Linotype" w:hAnsi="Palatino Linotype" w:cs="Arial"/>
          <w:b/>
          <w:sz w:val="24"/>
          <w:szCs w:val="24"/>
        </w:rPr>
        <w:t xml:space="preserve"> DE REVISIÓN </w:t>
      </w:r>
      <w:r w:rsidR="00362BCA">
        <w:rPr>
          <w:rFonts w:ascii="Palatino Linotype" w:hAnsi="Palatino Linotype" w:cs="Arial"/>
          <w:b/>
          <w:sz w:val="24"/>
          <w:szCs w:val="24"/>
        </w:rPr>
        <w:t>03287</w:t>
      </w:r>
      <w:r w:rsidR="007E2CF8" w:rsidRPr="00AD2199">
        <w:rPr>
          <w:rFonts w:ascii="Palatino Linotype" w:hAnsi="Palatino Linotype" w:cs="Arial"/>
          <w:b/>
          <w:sz w:val="24"/>
          <w:szCs w:val="24"/>
        </w:rPr>
        <w:t>/INFOEM/IP/RR/2018</w:t>
      </w:r>
      <w:r w:rsidR="0000525F" w:rsidRPr="00AD2199">
        <w:rPr>
          <w:rFonts w:ascii="Palatino Linotype" w:hAnsi="Palatino Linotype" w:cs="Arial"/>
          <w:b/>
          <w:sz w:val="24"/>
          <w:szCs w:val="24"/>
        </w:rPr>
        <w:t>.</w:t>
      </w:r>
    </w:p>
    <w:p w:rsidR="00902248" w:rsidRPr="00AD2199" w:rsidRDefault="00902248" w:rsidP="00823722">
      <w:pPr>
        <w:spacing w:after="0" w:line="360" w:lineRule="auto"/>
        <w:ind w:firstLine="708"/>
        <w:jc w:val="both"/>
        <w:rPr>
          <w:rFonts w:ascii="Palatino Linotype" w:hAnsi="Palatino Linotype" w:cs="Arial"/>
          <w:sz w:val="24"/>
          <w:szCs w:val="24"/>
        </w:rPr>
      </w:pPr>
    </w:p>
    <w:p w:rsidR="00902248" w:rsidRDefault="0046491C" w:rsidP="00823722">
      <w:pPr>
        <w:spacing w:after="0" w:line="360" w:lineRule="auto"/>
        <w:jc w:val="both"/>
        <w:rPr>
          <w:rFonts w:ascii="Palatino Linotype" w:hAnsi="Palatino Linotype" w:cs="Arial"/>
          <w:b/>
          <w:sz w:val="24"/>
          <w:szCs w:val="24"/>
        </w:rPr>
      </w:pPr>
      <w:r w:rsidRPr="00AD2199">
        <w:rPr>
          <w:rFonts w:ascii="Palatino Linotype" w:hAnsi="Palatino Linotype" w:cs="Arial"/>
          <w:b/>
          <w:sz w:val="24"/>
          <w:szCs w:val="24"/>
        </w:rPr>
        <w:t>Líneas argumentativas:</w:t>
      </w:r>
    </w:p>
    <w:p w:rsidR="00A16E7A" w:rsidRPr="00AD2199" w:rsidRDefault="00A16E7A" w:rsidP="00823722">
      <w:pPr>
        <w:spacing w:after="0" w:line="360" w:lineRule="auto"/>
        <w:jc w:val="both"/>
        <w:rPr>
          <w:rFonts w:ascii="Palatino Linotype" w:hAnsi="Palatino Linotype" w:cs="Arial"/>
          <w:b/>
          <w:sz w:val="24"/>
          <w:szCs w:val="24"/>
        </w:rPr>
      </w:pPr>
    </w:p>
    <w:p w:rsidR="0046491C" w:rsidRPr="00AD2199" w:rsidRDefault="0046491C" w:rsidP="00E34F08">
      <w:pPr>
        <w:spacing w:after="0" w:line="360" w:lineRule="auto"/>
        <w:jc w:val="both"/>
        <w:rPr>
          <w:rFonts w:ascii="Palatino Linotype" w:hAnsi="Palatino Linotype" w:cs="Arial"/>
          <w:sz w:val="24"/>
          <w:szCs w:val="24"/>
        </w:rPr>
      </w:pPr>
      <w:r w:rsidRPr="00AD2199">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902248" w:rsidRPr="00AD2199" w:rsidRDefault="00902248" w:rsidP="00E34F08">
      <w:pPr>
        <w:spacing w:after="0" w:line="240" w:lineRule="auto"/>
        <w:jc w:val="both"/>
        <w:rPr>
          <w:rFonts w:ascii="Palatino Linotype" w:hAnsi="Palatino Linotype" w:cs="Arial"/>
          <w:sz w:val="24"/>
          <w:szCs w:val="24"/>
        </w:rPr>
      </w:pPr>
    </w:p>
    <w:p w:rsidR="0046491C" w:rsidRPr="00AD2199" w:rsidRDefault="0046491C" w:rsidP="00E34F08">
      <w:pPr>
        <w:spacing w:after="0" w:line="360" w:lineRule="auto"/>
        <w:jc w:val="both"/>
        <w:rPr>
          <w:rFonts w:ascii="Palatino Linotype" w:hAnsi="Palatino Linotype" w:cs="Arial"/>
          <w:sz w:val="24"/>
          <w:szCs w:val="24"/>
        </w:rPr>
      </w:pPr>
      <w:r w:rsidRPr="00AD2199">
        <w:rPr>
          <w:rFonts w:ascii="Palatino Linotype" w:hAnsi="Palatino Linotype" w:cs="Arial"/>
          <w:sz w:val="24"/>
          <w:szCs w:val="24"/>
        </w:rPr>
        <w:t>La figura de actos consentidos no debe ser invocada en el derecho humano fundamental de acceder a la información pública gubernamental.</w:t>
      </w:r>
    </w:p>
    <w:p w:rsidR="0001046D" w:rsidRPr="00AD2199" w:rsidRDefault="0001046D" w:rsidP="00E34F08">
      <w:pPr>
        <w:spacing w:after="0" w:line="240" w:lineRule="auto"/>
        <w:jc w:val="both"/>
        <w:rPr>
          <w:rFonts w:ascii="Palatino Linotype" w:hAnsi="Palatino Linotype" w:cs="Arial"/>
          <w:sz w:val="24"/>
          <w:szCs w:val="24"/>
        </w:rPr>
      </w:pPr>
    </w:p>
    <w:p w:rsidR="0046491C" w:rsidRPr="00AD2199" w:rsidRDefault="0046491C" w:rsidP="00E34F08">
      <w:pPr>
        <w:spacing w:after="0" w:line="360" w:lineRule="auto"/>
        <w:jc w:val="both"/>
        <w:rPr>
          <w:rFonts w:ascii="Palatino Linotype" w:hAnsi="Palatino Linotype" w:cs="Arial"/>
          <w:sz w:val="24"/>
          <w:szCs w:val="24"/>
        </w:rPr>
      </w:pPr>
      <w:r w:rsidRPr="00AD2199">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AD2199" w:rsidRDefault="0046491C" w:rsidP="00E34F08">
      <w:pPr>
        <w:spacing w:after="0" w:line="240" w:lineRule="auto"/>
        <w:jc w:val="both"/>
        <w:rPr>
          <w:rFonts w:ascii="Palatino Linotype" w:hAnsi="Palatino Linotype" w:cs="Arial"/>
          <w:sz w:val="24"/>
          <w:szCs w:val="24"/>
        </w:rPr>
      </w:pPr>
    </w:p>
    <w:p w:rsidR="0046491C" w:rsidRPr="00AD2199" w:rsidRDefault="0046491C" w:rsidP="00E34F08">
      <w:pPr>
        <w:spacing w:after="0" w:line="360" w:lineRule="auto"/>
        <w:jc w:val="both"/>
        <w:rPr>
          <w:rFonts w:ascii="Palatino Linotype" w:hAnsi="Palatino Linotype" w:cs="Arial"/>
          <w:sz w:val="24"/>
          <w:szCs w:val="24"/>
        </w:rPr>
      </w:pPr>
      <w:r w:rsidRPr="00AD2199">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p>
    <w:p w:rsidR="0046491C" w:rsidRPr="00AD2199" w:rsidRDefault="0046491C" w:rsidP="00E34F08">
      <w:pPr>
        <w:spacing w:after="0" w:line="240" w:lineRule="auto"/>
        <w:jc w:val="both"/>
        <w:rPr>
          <w:rFonts w:ascii="Palatino Linotype" w:hAnsi="Palatino Linotype" w:cs="Arial"/>
          <w:sz w:val="24"/>
          <w:szCs w:val="24"/>
        </w:rPr>
      </w:pPr>
    </w:p>
    <w:p w:rsidR="00823722" w:rsidRPr="00AD2199" w:rsidRDefault="0046491C" w:rsidP="00E34F08">
      <w:pPr>
        <w:spacing w:after="0" w:line="360" w:lineRule="auto"/>
        <w:jc w:val="both"/>
        <w:rPr>
          <w:rFonts w:ascii="Palatino Linotype" w:hAnsi="Palatino Linotype" w:cs="Arial"/>
          <w:sz w:val="24"/>
          <w:szCs w:val="24"/>
        </w:rPr>
      </w:pPr>
      <w:r w:rsidRPr="00AD2199">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823722" w:rsidRPr="00AD2199" w:rsidRDefault="00823722" w:rsidP="00E34F08">
      <w:pPr>
        <w:spacing w:after="0" w:line="360" w:lineRule="auto"/>
        <w:jc w:val="both"/>
        <w:rPr>
          <w:rFonts w:ascii="Palatino Linotype" w:hAnsi="Palatino Linotype" w:cs="Arial"/>
          <w:sz w:val="24"/>
          <w:szCs w:val="24"/>
        </w:rPr>
      </w:pPr>
    </w:p>
    <w:p w:rsidR="00823722" w:rsidRDefault="0046491C" w:rsidP="00E34F08">
      <w:pPr>
        <w:spacing w:after="0" w:line="360" w:lineRule="auto"/>
        <w:jc w:val="both"/>
        <w:rPr>
          <w:rFonts w:ascii="Palatino Linotype" w:hAnsi="Palatino Linotype" w:cs="Arial"/>
          <w:sz w:val="24"/>
          <w:szCs w:val="24"/>
        </w:rPr>
      </w:pPr>
      <w:r w:rsidRPr="00AD2199">
        <w:rPr>
          <w:rFonts w:ascii="Palatino Linotype" w:hAnsi="Palatino Linotype" w:cs="Arial"/>
          <w:sz w:val="24"/>
          <w:szCs w:val="24"/>
        </w:rPr>
        <w:lastRenderedPageBreak/>
        <w:t>Los órganos del Estado, tienen el deber que tienen dentro del margen de sus atribuciones, de prevenir violaciones a los derechos fundamentales.</w:t>
      </w:r>
    </w:p>
    <w:p w:rsidR="00A16E7A" w:rsidRPr="00AD2199" w:rsidRDefault="00A16E7A" w:rsidP="00E34F08">
      <w:pPr>
        <w:spacing w:after="0" w:line="360" w:lineRule="auto"/>
        <w:jc w:val="both"/>
        <w:rPr>
          <w:rFonts w:ascii="Palatino Linotype" w:hAnsi="Palatino Linotype" w:cs="Arial"/>
          <w:sz w:val="24"/>
          <w:szCs w:val="24"/>
        </w:rPr>
      </w:pPr>
    </w:p>
    <w:p w:rsidR="0046491C" w:rsidRPr="00AD2199" w:rsidRDefault="0046491C" w:rsidP="00E34F08">
      <w:pPr>
        <w:spacing w:after="0" w:line="360" w:lineRule="auto"/>
        <w:jc w:val="both"/>
        <w:rPr>
          <w:rFonts w:ascii="Palatino Linotype" w:hAnsi="Palatino Linotype" w:cs="Arial"/>
          <w:sz w:val="24"/>
          <w:szCs w:val="24"/>
        </w:rPr>
      </w:pPr>
      <w:r w:rsidRPr="00AD2199">
        <w:rPr>
          <w:rFonts w:ascii="Palatino Linotype" w:hAnsi="Palatino Linotype" w:cs="Arial"/>
          <w:b/>
          <w:sz w:val="24"/>
          <w:szCs w:val="24"/>
        </w:rPr>
        <w:t>Índice</w:t>
      </w:r>
    </w:p>
    <w:sdt>
      <w:sdtPr>
        <w:rPr>
          <w:rFonts w:ascii="Palatino Linotype" w:eastAsiaTheme="minorHAnsi" w:hAnsi="Palatino Linotype" w:cstheme="minorBidi"/>
          <w:color w:val="auto"/>
          <w:sz w:val="24"/>
          <w:szCs w:val="24"/>
          <w:lang w:val="es-ES" w:eastAsia="en-US"/>
        </w:rPr>
        <w:id w:val="-1628690016"/>
        <w:docPartObj>
          <w:docPartGallery w:val="Table of Contents"/>
          <w:docPartUnique/>
        </w:docPartObj>
      </w:sdtPr>
      <w:sdtEndPr>
        <w:rPr>
          <w:b/>
          <w:bCs/>
        </w:rPr>
      </w:sdtEndPr>
      <w:sdtContent>
        <w:p w:rsidR="0046491C" w:rsidRPr="00AD2199" w:rsidRDefault="0046491C" w:rsidP="00E34F08">
          <w:pPr>
            <w:pStyle w:val="TtulodeTDC"/>
            <w:spacing w:line="360" w:lineRule="auto"/>
            <w:rPr>
              <w:rFonts w:ascii="Palatino Linotype" w:hAnsi="Palatino Linotype"/>
              <w:sz w:val="24"/>
              <w:szCs w:val="24"/>
            </w:rPr>
          </w:pPr>
        </w:p>
        <w:p w:rsidR="00823722" w:rsidRPr="00AD2199" w:rsidRDefault="0046491C">
          <w:pPr>
            <w:pStyle w:val="TDC1"/>
            <w:tabs>
              <w:tab w:val="left" w:pos="440"/>
              <w:tab w:val="right" w:leader="dot" w:pos="8828"/>
            </w:tabs>
            <w:rPr>
              <w:rFonts w:ascii="Palatino Linotype" w:eastAsiaTheme="minorEastAsia" w:hAnsi="Palatino Linotype"/>
              <w:noProof/>
              <w:sz w:val="24"/>
              <w:szCs w:val="24"/>
              <w:lang w:eastAsia="es-MX"/>
            </w:rPr>
          </w:pPr>
          <w:r w:rsidRPr="00AD2199">
            <w:rPr>
              <w:rFonts w:ascii="Palatino Linotype" w:hAnsi="Palatino Linotype"/>
              <w:sz w:val="24"/>
              <w:szCs w:val="24"/>
            </w:rPr>
            <w:fldChar w:fldCharType="begin"/>
          </w:r>
          <w:r w:rsidRPr="00AD2199">
            <w:rPr>
              <w:rFonts w:ascii="Palatino Linotype" w:hAnsi="Palatino Linotype"/>
              <w:sz w:val="24"/>
              <w:szCs w:val="24"/>
            </w:rPr>
            <w:instrText xml:space="preserve"> TOC \o "1-3" \h \z \u </w:instrText>
          </w:r>
          <w:r w:rsidRPr="00AD2199">
            <w:rPr>
              <w:rFonts w:ascii="Palatino Linotype" w:hAnsi="Palatino Linotype"/>
              <w:sz w:val="24"/>
              <w:szCs w:val="24"/>
            </w:rPr>
            <w:fldChar w:fldCharType="separate"/>
          </w:r>
          <w:hyperlink w:anchor="_Toc526160280" w:history="1">
            <w:r w:rsidR="00823722" w:rsidRPr="00AD2199">
              <w:rPr>
                <w:rStyle w:val="Hipervnculo"/>
                <w:rFonts w:ascii="Palatino Linotype" w:hAnsi="Palatino Linotype"/>
                <w:b/>
                <w:noProof/>
                <w:sz w:val="24"/>
                <w:szCs w:val="24"/>
              </w:rPr>
              <w:t>I.</w:t>
            </w:r>
            <w:r w:rsidR="00823722" w:rsidRPr="00AD2199">
              <w:rPr>
                <w:rFonts w:ascii="Palatino Linotype" w:eastAsiaTheme="minorEastAsia" w:hAnsi="Palatino Linotype"/>
                <w:noProof/>
                <w:sz w:val="24"/>
                <w:szCs w:val="24"/>
                <w:lang w:eastAsia="es-MX"/>
              </w:rPr>
              <w:tab/>
            </w:r>
            <w:r w:rsidR="00823722" w:rsidRPr="00AD2199">
              <w:rPr>
                <w:rStyle w:val="Hipervnculo"/>
                <w:rFonts w:ascii="Palatino Linotype" w:hAnsi="Palatino Linotype"/>
                <w:b/>
                <w:noProof/>
                <w:sz w:val="24"/>
                <w:szCs w:val="24"/>
              </w:rPr>
              <w:t>Consideraciones Generales.</w:t>
            </w:r>
            <w:r w:rsidR="00823722" w:rsidRPr="00AD2199">
              <w:rPr>
                <w:rFonts w:ascii="Palatino Linotype" w:hAnsi="Palatino Linotype"/>
                <w:noProof/>
                <w:webHidden/>
                <w:sz w:val="24"/>
                <w:szCs w:val="24"/>
              </w:rPr>
              <w:tab/>
            </w:r>
            <w:r w:rsidR="00823722" w:rsidRPr="00AD2199">
              <w:rPr>
                <w:rFonts w:ascii="Palatino Linotype" w:hAnsi="Palatino Linotype"/>
                <w:noProof/>
                <w:webHidden/>
                <w:sz w:val="24"/>
                <w:szCs w:val="24"/>
              </w:rPr>
              <w:fldChar w:fldCharType="begin"/>
            </w:r>
            <w:r w:rsidR="00823722" w:rsidRPr="00AD2199">
              <w:rPr>
                <w:rFonts w:ascii="Palatino Linotype" w:hAnsi="Palatino Linotype"/>
                <w:noProof/>
                <w:webHidden/>
                <w:sz w:val="24"/>
                <w:szCs w:val="24"/>
              </w:rPr>
              <w:instrText xml:space="preserve"> PAGEREF _Toc526160280 \h </w:instrText>
            </w:r>
            <w:r w:rsidR="00823722" w:rsidRPr="00AD2199">
              <w:rPr>
                <w:rFonts w:ascii="Palatino Linotype" w:hAnsi="Palatino Linotype"/>
                <w:noProof/>
                <w:webHidden/>
                <w:sz w:val="24"/>
                <w:szCs w:val="24"/>
              </w:rPr>
            </w:r>
            <w:r w:rsidR="00823722" w:rsidRPr="00AD2199">
              <w:rPr>
                <w:rFonts w:ascii="Palatino Linotype" w:hAnsi="Palatino Linotype"/>
                <w:noProof/>
                <w:webHidden/>
                <w:sz w:val="24"/>
                <w:szCs w:val="24"/>
              </w:rPr>
              <w:fldChar w:fldCharType="separate"/>
            </w:r>
            <w:r w:rsidR="00A16E7A">
              <w:rPr>
                <w:rFonts w:ascii="Palatino Linotype" w:hAnsi="Palatino Linotype"/>
                <w:noProof/>
                <w:webHidden/>
                <w:sz w:val="24"/>
                <w:szCs w:val="24"/>
              </w:rPr>
              <w:t>2</w:t>
            </w:r>
            <w:r w:rsidR="00823722" w:rsidRPr="00AD2199">
              <w:rPr>
                <w:rFonts w:ascii="Palatino Linotype" w:hAnsi="Palatino Linotype"/>
                <w:noProof/>
                <w:webHidden/>
                <w:sz w:val="24"/>
                <w:szCs w:val="24"/>
              </w:rPr>
              <w:fldChar w:fldCharType="end"/>
            </w:r>
          </w:hyperlink>
        </w:p>
        <w:p w:rsidR="00823722" w:rsidRPr="00AD2199" w:rsidRDefault="008815E2">
          <w:pPr>
            <w:pStyle w:val="TDC1"/>
            <w:tabs>
              <w:tab w:val="left" w:pos="660"/>
              <w:tab w:val="right" w:leader="dot" w:pos="8828"/>
            </w:tabs>
            <w:rPr>
              <w:rFonts w:ascii="Palatino Linotype" w:eastAsiaTheme="minorEastAsia" w:hAnsi="Palatino Linotype"/>
              <w:noProof/>
              <w:sz w:val="24"/>
              <w:szCs w:val="24"/>
              <w:lang w:eastAsia="es-MX"/>
            </w:rPr>
          </w:pPr>
          <w:hyperlink w:anchor="_Toc526160281" w:history="1">
            <w:r w:rsidR="00823722" w:rsidRPr="00AD2199">
              <w:rPr>
                <w:rStyle w:val="Hipervnculo"/>
                <w:rFonts w:ascii="Palatino Linotype" w:hAnsi="Palatino Linotype"/>
                <w:b/>
                <w:noProof/>
                <w:sz w:val="24"/>
                <w:szCs w:val="24"/>
              </w:rPr>
              <w:t>II.</w:t>
            </w:r>
            <w:r w:rsidR="00823722" w:rsidRPr="00AD2199">
              <w:rPr>
                <w:rFonts w:ascii="Palatino Linotype" w:eastAsiaTheme="minorEastAsia" w:hAnsi="Palatino Linotype"/>
                <w:noProof/>
                <w:sz w:val="24"/>
                <w:szCs w:val="24"/>
                <w:lang w:eastAsia="es-MX"/>
              </w:rPr>
              <w:tab/>
            </w:r>
            <w:r w:rsidR="00823722" w:rsidRPr="00AD2199">
              <w:rPr>
                <w:rStyle w:val="Hipervnculo"/>
                <w:rFonts w:ascii="Palatino Linotype" w:hAnsi="Palatino Linotype"/>
                <w:b/>
                <w:noProof/>
                <w:sz w:val="24"/>
                <w:szCs w:val="24"/>
              </w:rPr>
              <w:t>De los requerimientos planteados en el recurso de revisión.</w:t>
            </w:r>
            <w:r w:rsidR="00823722" w:rsidRPr="00AD2199">
              <w:rPr>
                <w:rFonts w:ascii="Palatino Linotype" w:hAnsi="Palatino Linotype"/>
                <w:noProof/>
                <w:webHidden/>
                <w:sz w:val="24"/>
                <w:szCs w:val="24"/>
              </w:rPr>
              <w:tab/>
            </w:r>
            <w:r w:rsidR="00823722" w:rsidRPr="00AD2199">
              <w:rPr>
                <w:rFonts w:ascii="Palatino Linotype" w:hAnsi="Palatino Linotype"/>
                <w:noProof/>
                <w:webHidden/>
                <w:sz w:val="24"/>
                <w:szCs w:val="24"/>
              </w:rPr>
              <w:fldChar w:fldCharType="begin"/>
            </w:r>
            <w:r w:rsidR="00823722" w:rsidRPr="00AD2199">
              <w:rPr>
                <w:rFonts w:ascii="Palatino Linotype" w:hAnsi="Palatino Linotype"/>
                <w:noProof/>
                <w:webHidden/>
                <w:sz w:val="24"/>
                <w:szCs w:val="24"/>
              </w:rPr>
              <w:instrText xml:space="preserve"> PAGEREF _Toc526160281 \h </w:instrText>
            </w:r>
            <w:r w:rsidR="00823722" w:rsidRPr="00AD2199">
              <w:rPr>
                <w:rFonts w:ascii="Palatino Linotype" w:hAnsi="Palatino Linotype"/>
                <w:noProof/>
                <w:webHidden/>
                <w:sz w:val="24"/>
                <w:szCs w:val="24"/>
              </w:rPr>
            </w:r>
            <w:r w:rsidR="00823722" w:rsidRPr="00AD2199">
              <w:rPr>
                <w:rFonts w:ascii="Palatino Linotype" w:hAnsi="Palatino Linotype"/>
                <w:noProof/>
                <w:webHidden/>
                <w:sz w:val="24"/>
                <w:szCs w:val="24"/>
              </w:rPr>
              <w:fldChar w:fldCharType="separate"/>
            </w:r>
            <w:r w:rsidR="00A16E7A">
              <w:rPr>
                <w:rFonts w:ascii="Palatino Linotype" w:hAnsi="Palatino Linotype"/>
                <w:noProof/>
                <w:webHidden/>
                <w:sz w:val="24"/>
                <w:szCs w:val="24"/>
              </w:rPr>
              <w:t>3</w:t>
            </w:r>
            <w:r w:rsidR="00823722" w:rsidRPr="00AD2199">
              <w:rPr>
                <w:rFonts w:ascii="Palatino Linotype" w:hAnsi="Palatino Linotype"/>
                <w:noProof/>
                <w:webHidden/>
                <w:sz w:val="24"/>
                <w:szCs w:val="24"/>
              </w:rPr>
              <w:fldChar w:fldCharType="end"/>
            </w:r>
          </w:hyperlink>
        </w:p>
        <w:p w:rsidR="00823722" w:rsidRPr="00AD2199" w:rsidRDefault="008815E2">
          <w:pPr>
            <w:pStyle w:val="TDC1"/>
            <w:tabs>
              <w:tab w:val="left" w:pos="660"/>
              <w:tab w:val="right" w:leader="dot" w:pos="8828"/>
            </w:tabs>
            <w:rPr>
              <w:rFonts w:ascii="Palatino Linotype" w:eastAsiaTheme="minorEastAsia" w:hAnsi="Palatino Linotype"/>
              <w:noProof/>
              <w:sz w:val="24"/>
              <w:szCs w:val="24"/>
              <w:lang w:eastAsia="es-MX"/>
            </w:rPr>
          </w:pPr>
          <w:hyperlink w:anchor="_Toc526160282" w:history="1">
            <w:r w:rsidR="00823722" w:rsidRPr="00AD2199">
              <w:rPr>
                <w:rStyle w:val="Hipervnculo"/>
                <w:rFonts w:ascii="Palatino Linotype" w:hAnsi="Palatino Linotype"/>
                <w:b/>
                <w:noProof/>
                <w:sz w:val="24"/>
                <w:szCs w:val="24"/>
              </w:rPr>
              <w:t>III.</w:t>
            </w:r>
            <w:r w:rsidR="00823722" w:rsidRPr="00AD2199">
              <w:rPr>
                <w:rFonts w:ascii="Palatino Linotype" w:eastAsiaTheme="minorEastAsia" w:hAnsi="Palatino Linotype"/>
                <w:noProof/>
                <w:sz w:val="24"/>
                <w:szCs w:val="24"/>
                <w:lang w:eastAsia="es-MX"/>
              </w:rPr>
              <w:tab/>
            </w:r>
            <w:r w:rsidR="00823722" w:rsidRPr="00AD2199">
              <w:rPr>
                <w:rStyle w:val="Hipervnculo"/>
                <w:rFonts w:ascii="Palatino Linotype" w:hAnsi="Palatino Linotype"/>
                <w:b/>
                <w:noProof/>
                <w:sz w:val="24"/>
                <w:szCs w:val="24"/>
              </w:rPr>
              <w:t>Los actos consentidos no deben invocarse en el derecho fundamental de acceder a la información pública gubernamental.</w:t>
            </w:r>
            <w:r w:rsidR="00823722" w:rsidRPr="00AD2199">
              <w:rPr>
                <w:rFonts w:ascii="Palatino Linotype" w:hAnsi="Palatino Linotype"/>
                <w:noProof/>
                <w:webHidden/>
                <w:sz w:val="24"/>
                <w:szCs w:val="24"/>
              </w:rPr>
              <w:tab/>
            </w:r>
            <w:r w:rsidR="00823722" w:rsidRPr="00AD2199">
              <w:rPr>
                <w:rFonts w:ascii="Palatino Linotype" w:hAnsi="Palatino Linotype"/>
                <w:noProof/>
                <w:webHidden/>
                <w:sz w:val="24"/>
                <w:szCs w:val="24"/>
              </w:rPr>
              <w:fldChar w:fldCharType="begin"/>
            </w:r>
            <w:r w:rsidR="00823722" w:rsidRPr="00AD2199">
              <w:rPr>
                <w:rFonts w:ascii="Palatino Linotype" w:hAnsi="Palatino Linotype"/>
                <w:noProof/>
                <w:webHidden/>
                <w:sz w:val="24"/>
                <w:szCs w:val="24"/>
              </w:rPr>
              <w:instrText xml:space="preserve"> PAGEREF _Toc526160282 \h </w:instrText>
            </w:r>
            <w:r w:rsidR="00823722" w:rsidRPr="00AD2199">
              <w:rPr>
                <w:rFonts w:ascii="Palatino Linotype" w:hAnsi="Palatino Linotype"/>
                <w:noProof/>
                <w:webHidden/>
                <w:sz w:val="24"/>
                <w:szCs w:val="24"/>
              </w:rPr>
            </w:r>
            <w:r w:rsidR="00823722" w:rsidRPr="00AD2199">
              <w:rPr>
                <w:rFonts w:ascii="Palatino Linotype" w:hAnsi="Palatino Linotype"/>
                <w:noProof/>
                <w:webHidden/>
                <w:sz w:val="24"/>
                <w:szCs w:val="24"/>
              </w:rPr>
              <w:fldChar w:fldCharType="separate"/>
            </w:r>
            <w:r w:rsidR="00A16E7A">
              <w:rPr>
                <w:rFonts w:ascii="Palatino Linotype" w:hAnsi="Palatino Linotype"/>
                <w:noProof/>
                <w:webHidden/>
                <w:sz w:val="24"/>
                <w:szCs w:val="24"/>
              </w:rPr>
              <w:t>9</w:t>
            </w:r>
            <w:r w:rsidR="00823722" w:rsidRPr="00AD2199">
              <w:rPr>
                <w:rFonts w:ascii="Palatino Linotype" w:hAnsi="Palatino Linotype"/>
                <w:noProof/>
                <w:webHidden/>
                <w:sz w:val="24"/>
                <w:szCs w:val="24"/>
              </w:rPr>
              <w:fldChar w:fldCharType="end"/>
            </w:r>
          </w:hyperlink>
        </w:p>
        <w:p w:rsidR="0046491C" w:rsidRPr="00AD2199" w:rsidRDefault="0046491C" w:rsidP="00E34F08">
          <w:pPr>
            <w:spacing w:line="360" w:lineRule="auto"/>
            <w:rPr>
              <w:rFonts w:ascii="Palatino Linotype" w:hAnsi="Palatino Linotype"/>
              <w:sz w:val="24"/>
              <w:szCs w:val="24"/>
            </w:rPr>
          </w:pPr>
          <w:r w:rsidRPr="00AD2199">
            <w:rPr>
              <w:rFonts w:ascii="Palatino Linotype" w:hAnsi="Palatino Linotype"/>
              <w:b/>
              <w:bCs/>
              <w:sz w:val="24"/>
              <w:szCs w:val="24"/>
              <w:lang w:val="es-ES"/>
            </w:rPr>
            <w:fldChar w:fldCharType="end"/>
          </w:r>
        </w:p>
      </w:sdtContent>
    </w:sdt>
    <w:p w:rsidR="0046491C" w:rsidRPr="00AD2199" w:rsidRDefault="0046491C" w:rsidP="00E34F08">
      <w:pPr>
        <w:pStyle w:val="Ttulo1"/>
        <w:numPr>
          <w:ilvl w:val="0"/>
          <w:numId w:val="12"/>
        </w:numPr>
        <w:spacing w:line="360" w:lineRule="auto"/>
        <w:rPr>
          <w:rFonts w:ascii="Palatino Linotype" w:hAnsi="Palatino Linotype"/>
          <w:b/>
          <w:color w:val="auto"/>
          <w:sz w:val="24"/>
          <w:szCs w:val="24"/>
        </w:rPr>
      </w:pPr>
      <w:bookmarkStart w:id="0" w:name="_Toc526160280"/>
      <w:r w:rsidRPr="00AD2199">
        <w:rPr>
          <w:rFonts w:ascii="Palatino Linotype" w:hAnsi="Palatino Linotype"/>
          <w:b/>
          <w:color w:val="auto"/>
          <w:sz w:val="24"/>
          <w:szCs w:val="24"/>
        </w:rPr>
        <w:t>Consideraciones Generales.</w:t>
      </w:r>
      <w:bookmarkEnd w:id="0"/>
    </w:p>
    <w:p w:rsidR="0046491C" w:rsidRPr="00AD2199" w:rsidRDefault="0046491C" w:rsidP="00E34F08">
      <w:pPr>
        <w:pStyle w:val="Prrafodelista"/>
        <w:spacing w:after="0" w:line="360" w:lineRule="auto"/>
        <w:ind w:left="1080"/>
        <w:jc w:val="both"/>
        <w:rPr>
          <w:rFonts w:ascii="Palatino Linotype" w:hAnsi="Palatino Linotype" w:cs="Arial"/>
          <w:b/>
          <w:sz w:val="24"/>
          <w:szCs w:val="24"/>
        </w:rPr>
      </w:pPr>
    </w:p>
    <w:p w:rsidR="0046491C" w:rsidRPr="00362BCA" w:rsidRDefault="0046491C" w:rsidP="00362BCA">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eastAsia="Times New Roman" w:hAnsi="Palatino Linotype" w:cs="Arial"/>
          <w:sz w:val="24"/>
          <w:szCs w:val="24"/>
          <w:lang w:val="es-ES_tradnl"/>
        </w:rPr>
        <w:t xml:space="preserve">He concurrido con mi </w:t>
      </w:r>
      <w:r w:rsidR="00D33AF9" w:rsidRPr="00AD2199">
        <w:rPr>
          <w:rFonts w:ascii="Palatino Linotype" w:eastAsia="Times New Roman" w:hAnsi="Palatino Linotype" w:cs="Arial"/>
          <w:sz w:val="24"/>
          <w:szCs w:val="24"/>
          <w:lang w:val="es-ES_tradnl"/>
        </w:rPr>
        <w:t>voto</w:t>
      </w:r>
      <w:r w:rsidR="00315529">
        <w:rPr>
          <w:rFonts w:ascii="Palatino Linotype" w:eastAsia="Times New Roman" w:hAnsi="Palatino Linotype" w:cs="Arial"/>
          <w:sz w:val="24"/>
          <w:szCs w:val="24"/>
          <w:lang w:val="es-ES_tradnl"/>
        </w:rPr>
        <w:t xml:space="preserve"> particular en</w:t>
      </w:r>
      <w:r w:rsidRPr="00AD2199">
        <w:rPr>
          <w:rFonts w:ascii="Palatino Linotype" w:eastAsia="Times New Roman" w:hAnsi="Palatino Linotype" w:cs="Arial"/>
          <w:sz w:val="24"/>
          <w:szCs w:val="24"/>
          <w:lang w:val="es-ES_tradnl"/>
        </w:rPr>
        <w:t xml:space="preserve"> la presente resolución emitida </w:t>
      </w:r>
      <w:r w:rsidRPr="00AD2199">
        <w:rPr>
          <w:rFonts w:ascii="Palatino Linotype" w:hAnsi="Palatino Linotype" w:cs="Arial"/>
          <w:sz w:val="24"/>
          <w:szCs w:val="24"/>
        </w:rPr>
        <w:t>por el Pleno del Instituto de Transparencia, Acceso a la Información Pública y Protección de Datos Personales del Estado de Méxi</w:t>
      </w:r>
      <w:r w:rsidR="002C1F75" w:rsidRPr="00AD2199">
        <w:rPr>
          <w:rFonts w:ascii="Palatino Linotype" w:hAnsi="Palatino Linotype" w:cs="Arial"/>
          <w:sz w:val="24"/>
          <w:szCs w:val="24"/>
        </w:rPr>
        <w:t>co y Municipios, en su</w:t>
      </w:r>
      <w:r w:rsidR="00823722" w:rsidRPr="00AD2199">
        <w:rPr>
          <w:rFonts w:ascii="Palatino Linotype" w:hAnsi="Palatino Linotype" w:cs="Arial"/>
          <w:sz w:val="24"/>
          <w:szCs w:val="24"/>
        </w:rPr>
        <w:t xml:space="preserve"> </w:t>
      </w:r>
      <w:r w:rsidR="00362BCA">
        <w:rPr>
          <w:rFonts w:ascii="Palatino Linotype" w:hAnsi="Palatino Linotype" w:cs="Arial"/>
          <w:b/>
          <w:sz w:val="24"/>
          <w:szCs w:val="24"/>
        </w:rPr>
        <w:t xml:space="preserve">Cuadragésima </w:t>
      </w:r>
      <w:r w:rsidR="00823722" w:rsidRPr="00AD2199">
        <w:rPr>
          <w:rFonts w:ascii="Palatino Linotype" w:hAnsi="Palatino Linotype" w:cs="Arial"/>
          <w:b/>
          <w:sz w:val="24"/>
          <w:szCs w:val="24"/>
        </w:rPr>
        <w:t>Sesión O</w:t>
      </w:r>
      <w:r w:rsidRPr="00AD2199">
        <w:rPr>
          <w:rFonts w:ascii="Palatino Linotype" w:hAnsi="Palatino Linotype" w:cs="Arial"/>
          <w:b/>
          <w:sz w:val="24"/>
          <w:szCs w:val="24"/>
        </w:rPr>
        <w:t>rdinaria</w:t>
      </w:r>
      <w:r w:rsidRPr="00AD2199">
        <w:rPr>
          <w:rFonts w:ascii="Palatino Linotype" w:hAnsi="Palatino Linotype" w:cs="Arial"/>
          <w:sz w:val="24"/>
          <w:szCs w:val="24"/>
        </w:rPr>
        <w:t xml:space="preserve"> de </w:t>
      </w:r>
      <w:r w:rsidR="00362BCA">
        <w:rPr>
          <w:rFonts w:ascii="Palatino Linotype" w:hAnsi="Palatino Linotype" w:cs="Arial"/>
          <w:sz w:val="24"/>
          <w:szCs w:val="24"/>
        </w:rPr>
        <w:t xml:space="preserve">treinta y uno </w:t>
      </w:r>
      <w:r w:rsidRPr="00AD2199">
        <w:rPr>
          <w:rFonts w:ascii="Palatino Linotype" w:hAnsi="Palatino Linotype" w:cs="Arial"/>
          <w:sz w:val="24"/>
          <w:szCs w:val="24"/>
        </w:rPr>
        <w:t>(</w:t>
      </w:r>
      <w:r w:rsidR="00362BCA">
        <w:rPr>
          <w:rFonts w:ascii="Palatino Linotype" w:hAnsi="Palatino Linotype" w:cs="Arial"/>
          <w:sz w:val="24"/>
          <w:szCs w:val="24"/>
        </w:rPr>
        <w:t>31</w:t>
      </w:r>
      <w:r w:rsidR="00225026" w:rsidRPr="00AD2199">
        <w:rPr>
          <w:rFonts w:ascii="Palatino Linotype" w:hAnsi="Palatino Linotype" w:cs="Arial"/>
          <w:sz w:val="24"/>
          <w:szCs w:val="24"/>
        </w:rPr>
        <w:t xml:space="preserve">) de </w:t>
      </w:r>
      <w:r w:rsidR="00823722" w:rsidRPr="00AD2199">
        <w:rPr>
          <w:rFonts w:ascii="Palatino Linotype" w:hAnsi="Palatino Linotype" w:cs="Arial"/>
          <w:sz w:val="24"/>
          <w:szCs w:val="24"/>
        </w:rPr>
        <w:t>septiembre</w:t>
      </w:r>
      <w:r w:rsidR="0076241F" w:rsidRPr="00AD2199">
        <w:rPr>
          <w:rFonts w:ascii="Palatino Linotype" w:hAnsi="Palatino Linotype" w:cs="Arial"/>
          <w:sz w:val="24"/>
          <w:szCs w:val="24"/>
        </w:rPr>
        <w:t xml:space="preserve"> de dos mil dieciocho</w:t>
      </w:r>
      <w:r w:rsidRPr="00AD2199">
        <w:rPr>
          <w:rFonts w:ascii="Palatino Linotype" w:hAnsi="Palatino Linotype" w:cs="Arial"/>
          <w:sz w:val="24"/>
          <w:szCs w:val="24"/>
        </w:rPr>
        <w:t>, en el recurso</w:t>
      </w:r>
      <w:r w:rsidR="002C1F75" w:rsidRPr="00AD2199">
        <w:rPr>
          <w:rFonts w:ascii="Palatino Linotype" w:hAnsi="Palatino Linotype" w:cs="Arial"/>
          <w:sz w:val="24"/>
          <w:szCs w:val="24"/>
        </w:rPr>
        <w:t xml:space="preserve"> de revisión promovido</w:t>
      </w:r>
      <w:r w:rsidRPr="00AD2199">
        <w:rPr>
          <w:rFonts w:ascii="Palatino Linotype" w:hAnsi="Palatino Linotype" w:cs="Arial"/>
          <w:sz w:val="24"/>
          <w:szCs w:val="24"/>
        </w:rPr>
        <w:t xml:space="preserve"> por</w:t>
      </w:r>
      <w:r w:rsidRPr="00AD2199">
        <w:rPr>
          <w:rFonts w:ascii="Palatino Linotype" w:hAnsi="Palatino Linotype" w:cs="Arial"/>
          <w:b/>
          <w:sz w:val="24"/>
          <w:szCs w:val="24"/>
        </w:rPr>
        <w:t xml:space="preserve"> </w:t>
      </w:r>
      <w:r w:rsidR="009660BD" w:rsidRPr="009660BD">
        <w:rPr>
          <w:rFonts w:ascii="Palatino Linotype" w:hAnsi="Palatino Linotype" w:cs="Arial"/>
          <w:b/>
          <w:sz w:val="24"/>
          <w:szCs w:val="24"/>
          <w:highlight w:val="black"/>
        </w:rPr>
        <w:t>--------------------------------------------------------</w:t>
      </w:r>
      <w:r w:rsidR="00596A5B" w:rsidRPr="00362BCA">
        <w:rPr>
          <w:rFonts w:ascii="Palatino Linotype" w:hAnsi="Palatino Linotype" w:cs="Arial"/>
          <w:b/>
          <w:sz w:val="24"/>
          <w:szCs w:val="24"/>
        </w:rPr>
        <w:t>,</w:t>
      </w:r>
      <w:r w:rsidRPr="00362BCA">
        <w:rPr>
          <w:rFonts w:ascii="Palatino Linotype" w:hAnsi="Palatino Linotype" w:cs="Arial"/>
          <w:b/>
          <w:sz w:val="24"/>
          <w:szCs w:val="24"/>
        </w:rPr>
        <w:t xml:space="preserve"> </w:t>
      </w:r>
      <w:r w:rsidRPr="00362BCA">
        <w:rPr>
          <w:rFonts w:ascii="Palatino Linotype" w:hAnsi="Palatino Linotype" w:cs="Arial"/>
          <w:sz w:val="24"/>
          <w:szCs w:val="24"/>
        </w:rPr>
        <w:t>en contra de la</w:t>
      </w:r>
      <w:r w:rsidR="00902248" w:rsidRPr="00362BCA">
        <w:rPr>
          <w:rFonts w:ascii="Palatino Linotype" w:hAnsi="Palatino Linotype" w:cs="Arial"/>
          <w:sz w:val="24"/>
          <w:szCs w:val="24"/>
        </w:rPr>
        <w:t>s</w:t>
      </w:r>
      <w:r w:rsidR="00596A5B" w:rsidRPr="00362BCA">
        <w:rPr>
          <w:rFonts w:ascii="Palatino Linotype" w:hAnsi="Palatino Linotype" w:cs="Arial"/>
          <w:sz w:val="24"/>
          <w:szCs w:val="24"/>
        </w:rPr>
        <w:t xml:space="preserve"> respuesta de</w:t>
      </w:r>
      <w:r w:rsidR="00596A5B" w:rsidRPr="00362BCA">
        <w:rPr>
          <w:rFonts w:ascii="Palatino Linotype" w:hAnsi="Palatino Linotype" w:cs="Arial"/>
          <w:b/>
          <w:sz w:val="24"/>
          <w:szCs w:val="24"/>
        </w:rPr>
        <w:t xml:space="preserve"> </w:t>
      </w:r>
      <w:r w:rsidR="00362BCA">
        <w:rPr>
          <w:rFonts w:ascii="Palatino Linotype" w:hAnsi="Palatino Linotype" w:cs="Arial"/>
          <w:b/>
          <w:sz w:val="24"/>
          <w:szCs w:val="24"/>
        </w:rPr>
        <w:t>Secretaría de la Contraloría</w:t>
      </w:r>
      <w:r w:rsidRPr="00362BCA">
        <w:rPr>
          <w:rFonts w:ascii="Palatino Linotype" w:hAnsi="Palatino Linotype" w:cs="Arial"/>
          <w:sz w:val="24"/>
          <w:szCs w:val="24"/>
        </w:rPr>
        <w:t>, procedimiento a</w:t>
      </w:r>
      <w:r w:rsidR="0000525F" w:rsidRPr="00362BCA">
        <w:rPr>
          <w:rFonts w:ascii="Palatino Linotype" w:hAnsi="Palatino Linotype" w:cs="Arial"/>
          <w:sz w:val="24"/>
          <w:szCs w:val="24"/>
        </w:rPr>
        <w:t>l</w:t>
      </w:r>
      <w:r w:rsidR="00902248" w:rsidRPr="00362BCA">
        <w:rPr>
          <w:rFonts w:ascii="Palatino Linotype" w:hAnsi="Palatino Linotype" w:cs="Arial"/>
          <w:sz w:val="24"/>
          <w:szCs w:val="24"/>
        </w:rPr>
        <w:t xml:space="preserve"> que se le asignó </w:t>
      </w:r>
      <w:r w:rsidR="0000525F" w:rsidRPr="00362BCA">
        <w:rPr>
          <w:rFonts w:ascii="Palatino Linotype" w:hAnsi="Palatino Linotype" w:cs="Arial"/>
          <w:sz w:val="24"/>
          <w:szCs w:val="24"/>
        </w:rPr>
        <w:t>el</w:t>
      </w:r>
      <w:r w:rsidRPr="00362BCA">
        <w:rPr>
          <w:rFonts w:ascii="Palatino Linotype" w:hAnsi="Palatino Linotype" w:cs="Arial"/>
          <w:sz w:val="24"/>
          <w:szCs w:val="24"/>
        </w:rPr>
        <w:t xml:space="preserve"> número de expediente </w:t>
      </w:r>
      <w:r w:rsidR="00362BCA">
        <w:rPr>
          <w:rFonts w:ascii="Palatino Linotype" w:eastAsia="Times New Roman" w:hAnsi="Palatino Linotype" w:cs="Arial"/>
          <w:b/>
          <w:bCs/>
          <w:sz w:val="24"/>
          <w:szCs w:val="24"/>
          <w:lang w:eastAsia="es-ES"/>
        </w:rPr>
        <w:t>03287</w:t>
      </w:r>
      <w:r w:rsidR="008C2FF2" w:rsidRPr="00362BCA">
        <w:rPr>
          <w:rFonts w:ascii="Palatino Linotype" w:eastAsia="Times New Roman" w:hAnsi="Palatino Linotype" w:cs="Arial"/>
          <w:b/>
          <w:bCs/>
          <w:sz w:val="24"/>
          <w:szCs w:val="24"/>
          <w:lang w:eastAsia="es-ES"/>
        </w:rPr>
        <w:t>/INFOEM/IP/RR/2018</w:t>
      </w:r>
      <w:r w:rsidR="0000525F" w:rsidRPr="00362BCA">
        <w:rPr>
          <w:rFonts w:ascii="Palatino Linotype" w:eastAsia="Times New Roman" w:hAnsi="Palatino Linotype" w:cs="Arial"/>
          <w:b/>
          <w:bCs/>
          <w:sz w:val="24"/>
          <w:szCs w:val="24"/>
          <w:lang w:eastAsia="es-ES"/>
        </w:rPr>
        <w:t>.</w:t>
      </w:r>
    </w:p>
    <w:p w:rsidR="0000525F" w:rsidRPr="00AD2199" w:rsidRDefault="0000525F" w:rsidP="00E34F08">
      <w:pPr>
        <w:pStyle w:val="Prrafodelista"/>
        <w:spacing w:after="0" w:line="360" w:lineRule="auto"/>
        <w:ind w:left="426"/>
        <w:jc w:val="both"/>
        <w:rPr>
          <w:rFonts w:ascii="Palatino Linotype" w:hAnsi="Palatino Linotype" w:cs="Arial"/>
          <w:sz w:val="24"/>
          <w:szCs w:val="24"/>
        </w:rPr>
      </w:pPr>
    </w:p>
    <w:p w:rsidR="0076241F" w:rsidRPr="00A16E7A" w:rsidRDefault="0046491C" w:rsidP="00A16E7A">
      <w:pPr>
        <w:pStyle w:val="Prrafodelista"/>
        <w:numPr>
          <w:ilvl w:val="0"/>
          <w:numId w:val="1"/>
        </w:numPr>
        <w:spacing w:after="0" w:line="360" w:lineRule="auto"/>
        <w:ind w:left="0" w:right="49" w:firstLine="0"/>
        <w:jc w:val="both"/>
        <w:rPr>
          <w:rFonts w:ascii="Palatino Linotype" w:hAnsi="Palatino Linotype" w:cs="Arial"/>
          <w:sz w:val="24"/>
          <w:szCs w:val="24"/>
        </w:rPr>
      </w:pPr>
      <w:r w:rsidRPr="00AD2199">
        <w:rPr>
          <w:rFonts w:ascii="Palatino Linotype" w:hAnsi="Palatino Linotype" w:cs="Arial"/>
          <w:sz w:val="24"/>
          <w:szCs w:val="24"/>
        </w:rPr>
        <w:lastRenderedPageBreak/>
        <w:t>Resultan</w:t>
      </w:r>
      <w:r w:rsidR="00B51EEB" w:rsidRPr="00AD2199">
        <w:rPr>
          <w:rFonts w:ascii="Palatino Linotype" w:hAnsi="Palatino Linotype" w:cs="Arial"/>
          <w:sz w:val="24"/>
          <w:szCs w:val="24"/>
        </w:rPr>
        <w:t xml:space="preserve"> </w:t>
      </w:r>
      <w:r w:rsidRPr="00AD2199">
        <w:rPr>
          <w:rFonts w:ascii="Palatino Linotype" w:hAnsi="Palatino Linotype" w:cs="Arial"/>
          <w:sz w:val="24"/>
          <w:szCs w:val="24"/>
        </w:rPr>
        <w:t>fundad</w:t>
      </w:r>
      <w:r w:rsidR="0000525F" w:rsidRPr="00AD2199">
        <w:rPr>
          <w:rFonts w:ascii="Palatino Linotype" w:hAnsi="Palatino Linotype" w:cs="Arial"/>
          <w:sz w:val="24"/>
          <w:szCs w:val="24"/>
        </w:rPr>
        <w:t>o</w:t>
      </w:r>
      <w:r w:rsidRPr="00AD2199">
        <w:rPr>
          <w:rFonts w:ascii="Palatino Linotype" w:hAnsi="Palatino Linotype" w:cs="Arial"/>
          <w:sz w:val="24"/>
          <w:szCs w:val="24"/>
        </w:rPr>
        <w:t xml:space="preserve">s </w:t>
      </w:r>
      <w:r w:rsidR="0000525F" w:rsidRPr="00AD2199">
        <w:rPr>
          <w:rFonts w:ascii="Palatino Linotype" w:hAnsi="Palatino Linotype" w:cs="Arial"/>
          <w:sz w:val="24"/>
          <w:szCs w:val="24"/>
        </w:rPr>
        <w:t>los</w:t>
      </w:r>
      <w:r w:rsidRPr="00AD2199">
        <w:rPr>
          <w:rFonts w:ascii="Palatino Linotype" w:hAnsi="Palatino Linotype" w:cs="Arial"/>
          <w:sz w:val="24"/>
          <w:szCs w:val="24"/>
        </w:rPr>
        <w:t xml:space="preserve"> motivos de inconformidad </w:t>
      </w:r>
      <w:r w:rsidR="0000525F" w:rsidRPr="00AD2199">
        <w:rPr>
          <w:rFonts w:ascii="Palatino Linotype" w:hAnsi="Palatino Linotype" w:cs="Arial"/>
          <w:sz w:val="24"/>
          <w:szCs w:val="24"/>
        </w:rPr>
        <w:t xml:space="preserve">que arguye </w:t>
      </w:r>
      <w:r w:rsidR="00E90EB5" w:rsidRPr="00AD2199">
        <w:rPr>
          <w:rFonts w:ascii="Palatino Linotype" w:hAnsi="Palatino Linotype" w:cs="Arial"/>
          <w:b/>
          <w:sz w:val="24"/>
          <w:szCs w:val="24"/>
        </w:rPr>
        <w:t>el recurrente</w:t>
      </w:r>
      <w:r w:rsidRPr="00AD2199">
        <w:rPr>
          <w:rFonts w:ascii="Palatino Linotype" w:hAnsi="Palatino Linotype" w:cs="Arial"/>
          <w:sz w:val="24"/>
          <w:szCs w:val="24"/>
        </w:rPr>
        <w:t>, en</w:t>
      </w:r>
      <w:r w:rsidR="00AA49F3" w:rsidRPr="00AD2199">
        <w:rPr>
          <w:rFonts w:ascii="Palatino Linotype" w:hAnsi="Palatino Linotype" w:cs="Arial"/>
          <w:sz w:val="24"/>
          <w:szCs w:val="24"/>
        </w:rPr>
        <w:t xml:space="preserve"> términos del Considerando </w:t>
      </w:r>
      <w:r w:rsidR="00362BCA">
        <w:rPr>
          <w:rFonts w:ascii="Palatino Linotype" w:hAnsi="Palatino Linotype" w:cs="Arial"/>
          <w:sz w:val="24"/>
          <w:szCs w:val="24"/>
        </w:rPr>
        <w:t>Quinto</w:t>
      </w:r>
      <w:r w:rsidR="00BF3534" w:rsidRPr="00AD2199">
        <w:rPr>
          <w:rFonts w:ascii="Palatino Linotype" w:hAnsi="Palatino Linotype" w:cs="Arial"/>
          <w:sz w:val="24"/>
          <w:szCs w:val="24"/>
        </w:rPr>
        <w:t xml:space="preserve"> de la resolución por lo que la pon</w:t>
      </w:r>
      <w:r w:rsidR="00424DE3" w:rsidRPr="00AD2199">
        <w:rPr>
          <w:rFonts w:ascii="Palatino Linotype" w:hAnsi="Palatino Linotype" w:cs="Arial"/>
          <w:sz w:val="24"/>
          <w:szCs w:val="24"/>
        </w:rPr>
        <w:t>encia encargada consideró</w:t>
      </w:r>
      <w:r w:rsidR="00BF3534" w:rsidRPr="00AD2199">
        <w:rPr>
          <w:rFonts w:ascii="Palatino Linotype" w:hAnsi="Palatino Linotype" w:cs="Arial"/>
          <w:sz w:val="24"/>
          <w:szCs w:val="24"/>
        </w:rPr>
        <w:t xml:space="preserve"> </w:t>
      </w:r>
      <w:r w:rsidR="008E1DCC" w:rsidRPr="00AD2199">
        <w:rPr>
          <w:rFonts w:ascii="Palatino Linotype" w:hAnsi="Palatino Linotype" w:cs="Arial"/>
          <w:sz w:val="24"/>
          <w:szCs w:val="24"/>
        </w:rPr>
        <w:t>modifica</w:t>
      </w:r>
      <w:r w:rsidR="00424DE3" w:rsidRPr="00AD2199">
        <w:rPr>
          <w:rFonts w:ascii="Palatino Linotype" w:hAnsi="Palatino Linotype" w:cs="Arial"/>
          <w:sz w:val="24"/>
          <w:szCs w:val="24"/>
        </w:rPr>
        <w:t>r</w:t>
      </w:r>
      <w:r w:rsidR="008E1DCC" w:rsidRPr="00AD2199">
        <w:rPr>
          <w:rFonts w:ascii="Palatino Linotype" w:hAnsi="Palatino Linotype" w:cs="Arial"/>
          <w:sz w:val="24"/>
          <w:szCs w:val="24"/>
        </w:rPr>
        <w:t xml:space="preserve"> la respuesta del Sujeto Obligado.</w:t>
      </w:r>
    </w:p>
    <w:p w:rsidR="0076241F" w:rsidRPr="00AD2199" w:rsidRDefault="0076241F" w:rsidP="00823722">
      <w:pPr>
        <w:pStyle w:val="Prrafodelista"/>
        <w:spacing w:before="240" w:after="240" w:line="360" w:lineRule="auto"/>
        <w:ind w:left="0" w:right="49"/>
        <w:jc w:val="both"/>
        <w:rPr>
          <w:rFonts w:ascii="Palatino Linotype" w:hAnsi="Palatino Linotype" w:cs="Arial"/>
          <w:sz w:val="24"/>
          <w:szCs w:val="24"/>
        </w:rPr>
      </w:pPr>
    </w:p>
    <w:p w:rsidR="0046491C" w:rsidRPr="00AD2199" w:rsidRDefault="0046491C" w:rsidP="00823722">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Mi </w:t>
      </w:r>
      <w:r w:rsidR="00D33AF9" w:rsidRPr="00AD2199">
        <w:rPr>
          <w:rFonts w:ascii="Palatino Linotype" w:hAnsi="Palatino Linotype" w:cs="Arial"/>
          <w:sz w:val="24"/>
          <w:szCs w:val="24"/>
        </w:rPr>
        <w:t>voto</w:t>
      </w:r>
      <w:r w:rsidRPr="00AD2199">
        <w:rPr>
          <w:rFonts w:ascii="Palatino Linotype" w:hAnsi="Palatino Linotype" w:cs="Arial"/>
          <w:sz w:val="24"/>
          <w:szCs w:val="24"/>
        </w:rPr>
        <w:t xml:space="preserve"> particular se deriva del hecho de que se haya invocado la figura de actos consentidos en el presente asunto, resultando del todo innecesario hacer referencia a dicha figura, lo cual he manifestado en diversas ocasiones señalando que no deben invocarse en el derecho de acceso a la información pública.</w:t>
      </w:r>
    </w:p>
    <w:p w:rsidR="0046491C" w:rsidRPr="00AD2199" w:rsidRDefault="0046491C" w:rsidP="00E34F08">
      <w:pPr>
        <w:spacing w:after="0" w:line="360" w:lineRule="auto"/>
        <w:jc w:val="both"/>
        <w:rPr>
          <w:rFonts w:ascii="Palatino Linotype" w:hAnsi="Palatino Linotype" w:cs="Arial"/>
          <w:sz w:val="24"/>
          <w:szCs w:val="24"/>
        </w:rPr>
      </w:pPr>
    </w:p>
    <w:p w:rsidR="0046491C" w:rsidRPr="00AD2199" w:rsidRDefault="0046491C" w:rsidP="00A16E7A">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Por tal motivo y en términos de lo señalado por los artículos </w:t>
      </w:r>
      <w:r w:rsidR="00AA49F3" w:rsidRPr="00AD2199">
        <w:rPr>
          <w:rFonts w:ascii="Palatino Linotype" w:hAnsi="Palatino Linotype" w:cs="Arial"/>
          <w:sz w:val="24"/>
          <w:szCs w:val="24"/>
        </w:rPr>
        <w:t>14</w:t>
      </w:r>
      <w:r w:rsidRPr="00AD2199">
        <w:rPr>
          <w:rFonts w:ascii="Palatino Linotype" w:hAnsi="Palatino Linotype" w:cs="Arial"/>
          <w:sz w:val="24"/>
          <w:szCs w:val="24"/>
        </w:rPr>
        <w:t xml:space="preserve"> fracción </w:t>
      </w:r>
      <w:r w:rsidR="00AA49F3" w:rsidRPr="00AD2199">
        <w:rPr>
          <w:rFonts w:ascii="Palatino Linotype" w:hAnsi="Palatino Linotype" w:cs="Arial"/>
          <w:sz w:val="24"/>
          <w:szCs w:val="24"/>
        </w:rPr>
        <w:t>XI</w:t>
      </w:r>
      <w:r w:rsidRPr="00AD2199">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AD2199" w:rsidRDefault="0001046D" w:rsidP="00A16E7A">
      <w:pPr>
        <w:pStyle w:val="Prrafodelista"/>
        <w:spacing w:after="0"/>
        <w:rPr>
          <w:rFonts w:ascii="Palatino Linotype" w:hAnsi="Palatino Linotype" w:cs="Arial"/>
          <w:sz w:val="24"/>
          <w:szCs w:val="24"/>
        </w:rPr>
      </w:pPr>
    </w:p>
    <w:p w:rsidR="0046491C" w:rsidRPr="00AD2199" w:rsidRDefault="0046491C" w:rsidP="00B51EEB">
      <w:pPr>
        <w:pStyle w:val="Ttulo1"/>
        <w:numPr>
          <w:ilvl w:val="0"/>
          <w:numId w:val="12"/>
        </w:numPr>
        <w:spacing w:line="360" w:lineRule="auto"/>
        <w:ind w:left="0" w:firstLine="0"/>
        <w:rPr>
          <w:rFonts w:ascii="Palatino Linotype" w:hAnsi="Palatino Linotype"/>
          <w:b/>
          <w:color w:val="auto"/>
          <w:sz w:val="24"/>
          <w:szCs w:val="24"/>
        </w:rPr>
      </w:pPr>
      <w:bookmarkStart w:id="1" w:name="_Toc526160281"/>
      <w:r w:rsidRPr="00AD2199">
        <w:rPr>
          <w:rFonts w:ascii="Palatino Linotype" w:hAnsi="Palatino Linotype"/>
          <w:b/>
          <w:color w:val="auto"/>
          <w:sz w:val="24"/>
          <w:szCs w:val="24"/>
        </w:rPr>
        <w:t>De los requerimientos planteados en el recurso de revisión.</w:t>
      </w:r>
      <w:bookmarkEnd w:id="1"/>
    </w:p>
    <w:p w:rsidR="0046491C" w:rsidRPr="00AD2199" w:rsidRDefault="0046491C" w:rsidP="00E34F08">
      <w:pPr>
        <w:pStyle w:val="Prrafodelista"/>
        <w:spacing w:line="360" w:lineRule="auto"/>
        <w:ind w:left="1080"/>
        <w:jc w:val="both"/>
        <w:rPr>
          <w:rFonts w:ascii="Palatino Linotype" w:hAnsi="Palatino Linotype" w:cs="Arial"/>
          <w:sz w:val="24"/>
          <w:szCs w:val="24"/>
        </w:rPr>
      </w:pPr>
    </w:p>
    <w:p w:rsidR="00444048" w:rsidRPr="00AD2199" w:rsidRDefault="00B51EEB" w:rsidP="00B51EEB">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sidRPr="00AD2199">
        <w:rPr>
          <w:rFonts w:ascii="Palatino Linotype" w:hAnsi="Palatino Linotype" w:cs="Arial"/>
          <w:sz w:val="24"/>
          <w:szCs w:val="24"/>
        </w:rPr>
        <w:t xml:space="preserve">La </w:t>
      </w:r>
      <w:r w:rsidR="008E1DCC" w:rsidRPr="00AD2199">
        <w:rPr>
          <w:rFonts w:ascii="Palatino Linotype" w:hAnsi="Palatino Linotype" w:cs="Arial"/>
          <w:sz w:val="24"/>
          <w:szCs w:val="24"/>
        </w:rPr>
        <w:t>particular</w:t>
      </w:r>
      <w:r w:rsidR="00362BCA">
        <w:rPr>
          <w:rFonts w:ascii="Palatino Linotype" w:hAnsi="Palatino Linotype" w:cs="Arial"/>
          <w:sz w:val="24"/>
          <w:szCs w:val="24"/>
        </w:rPr>
        <w:t xml:space="preserve"> requirió de la Secretaría de la Contraloría </w:t>
      </w:r>
      <w:r w:rsidR="00F25783" w:rsidRPr="00AD2199">
        <w:rPr>
          <w:rFonts w:ascii="Palatino Linotype" w:hAnsi="Palatino Linotype" w:cs="Arial"/>
          <w:sz w:val="24"/>
          <w:szCs w:val="24"/>
        </w:rPr>
        <w:t xml:space="preserve">lo siguiente: </w:t>
      </w:r>
      <w:r w:rsidR="00413496" w:rsidRPr="00AD2199">
        <w:rPr>
          <w:rFonts w:ascii="Palatino Linotype" w:hAnsi="Palatino Linotype" w:cs="Arial"/>
          <w:b/>
          <w:sz w:val="24"/>
          <w:szCs w:val="24"/>
        </w:rPr>
        <w:t xml:space="preserve"> </w:t>
      </w:r>
      <w:r w:rsidR="0046491C" w:rsidRPr="00AD2199">
        <w:rPr>
          <w:rFonts w:ascii="Palatino Linotype" w:hAnsi="Palatino Linotype" w:cs="Arial"/>
          <w:sz w:val="24"/>
          <w:szCs w:val="24"/>
        </w:rPr>
        <w:t xml:space="preserve"> </w:t>
      </w:r>
    </w:p>
    <w:p w:rsidR="00B51EEB" w:rsidRPr="00AD2199" w:rsidRDefault="00B51EEB" w:rsidP="00F25783">
      <w:pPr>
        <w:pStyle w:val="Prrafodelista"/>
        <w:spacing w:after="0" w:line="360" w:lineRule="auto"/>
        <w:ind w:left="360"/>
        <w:jc w:val="both"/>
        <w:rPr>
          <w:rFonts w:ascii="Palatino Linotype" w:eastAsia="Times New Roman" w:hAnsi="Palatino Linotype" w:cs="Times New Roman"/>
          <w:i/>
          <w:sz w:val="24"/>
          <w:szCs w:val="24"/>
          <w:lang w:val="es-ES" w:eastAsia="es-ES"/>
        </w:rPr>
      </w:pPr>
    </w:p>
    <w:p w:rsidR="00AE4797" w:rsidRDefault="00362BCA" w:rsidP="00362BCA">
      <w:pPr>
        <w:spacing w:after="0" w:line="360" w:lineRule="auto"/>
        <w:ind w:left="567" w:right="616"/>
        <w:jc w:val="both"/>
        <w:rPr>
          <w:rFonts w:ascii="Palatino Linotype" w:hAnsi="Palatino Linotype" w:cs="Arial"/>
          <w:i/>
        </w:rPr>
      </w:pPr>
      <w:r>
        <w:rPr>
          <w:rFonts w:ascii="Palatino Linotype" w:hAnsi="Palatino Linotype" w:cs="Arial"/>
          <w:i/>
        </w:rPr>
        <w:t>“</w:t>
      </w:r>
      <w:r w:rsidRPr="00B2064A">
        <w:rPr>
          <w:rFonts w:ascii="Palatino Linotype" w:hAnsi="Palatino Linotype" w:cs="Arial"/>
          <w:i/>
        </w:rPr>
        <w:t xml:space="preserve">Solicito el documento por el cual se nombra al Titular de la Unidad de Transparencia, el domicilio de la Unidad de Transparencia, el horario de labores y el documento consistente en la certificación en materia de acceso a la información, transparencia y protección de datos personales con el que debe contar el titular de la Unidad de Transparencia que señala el artículo 57 fracción I de Ley de Transparencia, Acceso a la Información Pública y Protección de Datos Personales del Estado de México y </w:t>
      </w:r>
      <w:r w:rsidRPr="00B2064A">
        <w:rPr>
          <w:rFonts w:ascii="Palatino Linotype" w:hAnsi="Palatino Linotype" w:cs="Arial"/>
          <w:i/>
        </w:rPr>
        <w:lastRenderedPageBreak/>
        <w:t xml:space="preserve">Municipios; su </w:t>
      </w:r>
      <w:proofErr w:type="spellStart"/>
      <w:r w:rsidRPr="00B2064A">
        <w:rPr>
          <w:rFonts w:ascii="Palatino Linotype" w:hAnsi="Palatino Linotype" w:cs="Arial"/>
          <w:i/>
        </w:rPr>
        <w:t>Curriculum</w:t>
      </w:r>
      <w:proofErr w:type="spellEnd"/>
      <w:r w:rsidRPr="00B2064A">
        <w:rPr>
          <w:rFonts w:ascii="Palatino Linotype" w:hAnsi="Palatino Linotype" w:cs="Arial"/>
          <w:i/>
        </w:rPr>
        <w:t xml:space="preserve"> Vitae en donde se enmarque su experiencia. Así mismo requiero todas las resoluciones en donde se haya clasificado información reservada o confidencial desde el año 2015 a la fecha de la solicitud.” (Sic).</w:t>
      </w:r>
    </w:p>
    <w:p w:rsidR="00362BCA" w:rsidRPr="00AD2199" w:rsidRDefault="00362BCA" w:rsidP="00444048">
      <w:pPr>
        <w:spacing w:after="0" w:line="360" w:lineRule="auto"/>
        <w:jc w:val="both"/>
        <w:rPr>
          <w:rFonts w:ascii="Palatino Linotype" w:eastAsia="Times New Roman" w:hAnsi="Palatino Linotype" w:cs="Times New Roman"/>
          <w:i/>
          <w:sz w:val="24"/>
          <w:szCs w:val="24"/>
          <w:lang w:val="es-ES_tradnl" w:eastAsia="es-ES"/>
        </w:rPr>
      </w:pPr>
    </w:p>
    <w:p w:rsidR="00AE4797" w:rsidRPr="00AD2199" w:rsidRDefault="00AE4797" w:rsidP="00B51EEB">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sidRPr="00AD2199">
        <w:rPr>
          <w:rFonts w:ascii="Palatino Linotype" w:hAnsi="Palatino Linotype" w:cs="Arial"/>
          <w:sz w:val="24"/>
          <w:szCs w:val="24"/>
        </w:rPr>
        <w:t xml:space="preserve">El Sujeto Obligado </w:t>
      </w:r>
      <w:r w:rsidR="00444048" w:rsidRPr="00AD2199">
        <w:rPr>
          <w:rFonts w:ascii="Palatino Linotype" w:hAnsi="Palatino Linotype" w:cs="Arial"/>
          <w:sz w:val="24"/>
          <w:szCs w:val="24"/>
        </w:rPr>
        <w:t>mediante</w:t>
      </w:r>
      <w:r w:rsidR="008D4B3A" w:rsidRPr="00AD2199">
        <w:rPr>
          <w:rFonts w:ascii="Palatino Linotype" w:hAnsi="Palatino Linotype" w:cs="Arial"/>
          <w:sz w:val="24"/>
          <w:szCs w:val="24"/>
        </w:rPr>
        <w:t xml:space="preserve"> su escrito dio respuesta a</w:t>
      </w:r>
      <w:r w:rsidRPr="00AD2199">
        <w:rPr>
          <w:rFonts w:ascii="Palatino Linotype" w:hAnsi="Palatino Linotype" w:cs="Arial"/>
          <w:sz w:val="24"/>
          <w:szCs w:val="24"/>
        </w:rPr>
        <w:t xml:space="preserve"> </w:t>
      </w:r>
      <w:r w:rsidR="009156AC" w:rsidRPr="00AD2199">
        <w:rPr>
          <w:rFonts w:ascii="Palatino Linotype" w:hAnsi="Palatino Linotype" w:cs="Arial"/>
          <w:sz w:val="24"/>
          <w:szCs w:val="24"/>
        </w:rPr>
        <w:t xml:space="preserve">la </w:t>
      </w:r>
      <w:r w:rsidRPr="00AD2199">
        <w:rPr>
          <w:rFonts w:ascii="Palatino Linotype" w:hAnsi="Palatino Linotype" w:cs="Arial"/>
          <w:sz w:val="24"/>
          <w:szCs w:val="24"/>
        </w:rPr>
        <w:t>solicitud</w:t>
      </w:r>
      <w:r w:rsidR="009156AC" w:rsidRPr="00AD2199">
        <w:rPr>
          <w:rFonts w:ascii="Palatino Linotype" w:hAnsi="Palatino Linotype" w:cs="Arial"/>
          <w:sz w:val="24"/>
          <w:szCs w:val="24"/>
        </w:rPr>
        <w:t xml:space="preserve"> de información</w:t>
      </w:r>
      <w:r w:rsidRPr="00AD2199">
        <w:rPr>
          <w:rFonts w:ascii="Palatino Linotype" w:hAnsi="Palatino Linotype" w:cs="Arial"/>
          <w:sz w:val="24"/>
          <w:szCs w:val="24"/>
        </w:rPr>
        <w:t>, de la siguiente manera:</w:t>
      </w:r>
    </w:p>
    <w:p w:rsidR="00B51EEB" w:rsidRPr="00AD2199" w:rsidRDefault="00B51EEB" w:rsidP="00B51EEB">
      <w:pPr>
        <w:pStyle w:val="Prrafodelista"/>
        <w:spacing w:after="0" w:line="360" w:lineRule="auto"/>
        <w:ind w:left="0"/>
        <w:jc w:val="both"/>
        <w:rPr>
          <w:rFonts w:ascii="Palatino Linotype" w:eastAsia="Times New Roman" w:hAnsi="Palatino Linotype" w:cs="Times New Roman"/>
          <w:i/>
          <w:sz w:val="24"/>
          <w:szCs w:val="24"/>
          <w:lang w:val="es-ES_tradnl" w:eastAsia="es-ES"/>
        </w:rPr>
      </w:pPr>
    </w:p>
    <w:p w:rsidR="00362BCA" w:rsidRPr="00B2064A" w:rsidRDefault="00362BCA" w:rsidP="00A16E7A">
      <w:pPr>
        <w:spacing w:after="0"/>
        <w:ind w:left="851" w:right="899"/>
        <w:jc w:val="both"/>
        <w:rPr>
          <w:rFonts w:ascii="Palatino Linotype" w:hAnsi="Palatino Linotype" w:cs="Arial"/>
          <w:i/>
        </w:rPr>
      </w:pPr>
    </w:p>
    <w:p w:rsidR="00362BCA" w:rsidRPr="00B2064A" w:rsidRDefault="00362BCA" w:rsidP="00362BCA">
      <w:pPr>
        <w:ind w:left="851" w:right="899"/>
        <w:jc w:val="right"/>
        <w:rPr>
          <w:rFonts w:ascii="Palatino Linotype" w:hAnsi="Palatino Linotype" w:cs="Arial"/>
          <w:i/>
        </w:rPr>
      </w:pPr>
      <w:r w:rsidRPr="00B2064A">
        <w:rPr>
          <w:rFonts w:ascii="Palatino Linotype" w:hAnsi="Palatino Linotype" w:cs="Arial"/>
          <w:i/>
        </w:rPr>
        <w:t>“Metepec, México a 15 de Agosto de 2018</w:t>
      </w:r>
    </w:p>
    <w:p w:rsidR="00362BCA" w:rsidRPr="00B2064A" w:rsidRDefault="00362BCA" w:rsidP="00362BCA">
      <w:pPr>
        <w:ind w:left="851" w:right="899"/>
        <w:jc w:val="right"/>
        <w:rPr>
          <w:rFonts w:ascii="Palatino Linotype" w:hAnsi="Palatino Linotype" w:cs="Arial"/>
          <w:i/>
        </w:rPr>
      </w:pPr>
      <w:r w:rsidRPr="00B2064A">
        <w:rPr>
          <w:rFonts w:ascii="Palatino Linotype" w:hAnsi="Palatino Linotype" w:cs="Arial"/>
          <w:i/>
        </w:rPr>
        <w:t xml:space="preserve">Nombre del solicitante: </w:t>
      </w:r>
      <w:r w:rsidR="009660BD" w:rsidRPr="009660BD">
        <w:rPr>
          <w:rFonts w:ascii="Palatino Linotype" w:hAnsi="Palatino Linotype" w:cs="Arial"/>
          <w:i/>
          <w:highlight w:val="black"/>
        </w:rPr>
        <w:t>-----------------------------------------</w:t>
      </w:r>
    </w:p>
    <w:p w:rsidR="00362BCA" w:rsidRPr="00B2064A" w:rsidRDefault="00362BCA" w:rsidP="00362BCA">
      <w:pPr>
        <w:ind w:left="851" w:right="899"/>
        <w:jc w:val="right"/>
        <w:rPr>
          <w:rFonts w:ascii="Palatino Linotype" w:hAnsi="Palatino Linotype" w:cs="Arial"/>
          <w:i/>
        </w:rPr>
      </w:pPr>
      <w:r w:rsidRPr="00B2064A">
        <w:rPr>
          <w:rFonts w:ascii="Palatino Linotype" w:hAnsi="Palatino Linotype" w:cs="Arial"/>
          <w:i/>
        </w:rPr>
        <w:t>Folio de la solicitud: 00098/SECOGEM/IP/2018</w:t>
      </w:r>
    </w:p>
    <w:p w:rsidR="00362BCA" w:rsidRPr="00B2064A" w:rsidRDefault="00362BCA" w:rsidP="00362BCA">
      <w:pPr>
        <w:ind w:left="851" w:right="899"/>
        <w:jc w:val="right"/>
        <w:rPr>
          <w:rFonts w:ascii="Palatino Linotype" w:hAnsi="Palatino Linotype"/>
          <w:sz w:val="18"/>
          <w:szCs w:val="18"/>
          <w:lang w:eastAsia="es-MX"/>
        </w:rPr>
      </w:pPr>
    </w:p>
    <w:p w:rsidR="00362BCA" w:rsidRPr="00B2064A" w:rsidRDefault="00362BCA" w:rsidP="00362BCA">
      <w:pPr>
        <w:ind w:left="851" w:right="899"/>
        <w:jc w:val="both"/>
        <w:rPr>
          <w:rFonts w:ascii="Palatino Linotype" w:hAnsi="Palatino Linotype" w:cs="Arial"/>
          <w:i/>
        </w:rPr>
      </w:pPr>
      <w:r w:rsidRPr="00B2064A">
        <w:rPr>
          <w:rFonts w:ascii="Palatino Linotype" w:hAnsi="Palatino Linotype" w:cs="Arial"/>
          <w:i/>
        </w:rPr>
        <w:t xml:space="preserve">C. SOLICITANTE DE INFORMACIÓN P R E S E N T E En atención a la solicitud de información registrada con el folio número 00098/SECOGEM/IP/2018, de fecha treinta de julio de dos mil dieciocho, consistente en “Solicito el documento por el cual se nombra al Titular de la Unidad de Transparencia, el domicilio de la Unidad de Transparencia, el horario de labores y el documento consistente en la certificación en materia de acceso a la información, transparencia y protección de datos personales con el que debe contar el titular de la Unidad de Transparencia que señala el artículo 57 fracción I de Ley de Transparencia, Acceso a la Información Pública y Protección de Datos Personales del Estado de México y Municipios; su </w:t>
      </w:r>
      <w:proofErr w:type="spellStart"/>
      <w:r w:rsidRPr="00B2064A">
        <w:rPr>
          <w:rFonts w:ascii="Palatino Linotype" w:hAnsi="Palatino Linotype" w:cs="Arial"/>
          <w:i/>
        </w:rPr>
        <w:t>Curriculum</w:t>
      </w:r>
      <w:proofErr w:type="spellEnd"/>
      <w:r w:rsidRPr="00B2064A">
        <w:rPr>
          <w:rFonts w:ascii="Palatino Linotype" w:hAnsi="Palatino Linotype" w:cs="Arial"/>
          <w:i/>
        </w:rPr>
        <w:t xml:space="preserve"> Vitae en donde se enmarque su experiencia. Así mismo requiero todas las resoluciones en donde se haya clasificado información reservada o confidencial desde el año 2015 a la fecha de la solicitud.” (SIC). Al respecto, se hace del conocimiento al solicitante, que con la finalidad de estar en posibilidades de entregar la información solicitada, consistente de 348 fojas útiles visibles por una sola de sus caras. Se solicita cubrir el importe generado por el escaneo y la digitalización de los documentos consisten en $328.00 (Trescientos veinte y ocho pesos 00/100 M.N.). Lo anterior en virtud </w:t>
      </w:r>
      <w:r w:rsidRPr="00B2064A">
        <w:rPr>
          <w:rFonts w:ascii="Palatino Linotype" w:hAnsi="Palatino Linotype" w:cs="Arial"/>
          <w:i/>
        </w:rPr>
        <w:lastRenderedPageBreak/>
        <w:t xml:space="preserve">de que se superan las 20 fojas simples, de conformidad con los artículos 70 y 73 del Código Financiero del Estado de </w:t>
      </w:r>
      <w:r w:rsidR="00A16E7A" w:rsidRPr="00B2064A">
        <w:rPr>
          <w:rFonts w:ascii="Palatino Linotype" w:hAnsi="Palatino Linotype" w:cs="Arial"/>
          <w:i/>
        </w:rPr>
        <w:t xml:space="preserve">México. </w:t>
      </w:r>
      <w:r w:rsidRPr="00B2064A">
        <w:rPr>
          <w:rFonts w:ascii="Palatino Linotype" w:hAnsi="Palatino Linotype" w:cs="Arial"/>
          <w:i/>
        </w:rPr>
        <w:t>Aunado a lo anterior, el artículo Quincuagésimo de los de los Lineamientos para la Implementación y Operación de la Plataforma Nacional de Transparencia, publicados el 4 de mayo de 2016 en el Diario Oficial de la Federación. En virtud de lo anterior, deberá ingresar a la siguiente liga electrónica, con la finalidad de obtener la línea de captura y realizar el pago correspondiente. https://sfpya.edomexico.gob.mx/recaudacion/ Una vez realizado el pago, deberá presentar el recibo de pago correspondiente, para la entrega de la información</w:t>
      </w:r>
      <w:r w:rsidRPr="00B2064A">
        <w:rPr>
          <w:rFonts w:ascii="Palatino Linotype" w:hAnsi="Palatino Linotype"/>
          <w:sz w:val="18"/>
          <w:szCs w:val="18"/>
          <w:lang w:eastAsia="es-MX"/>
        </w:rPr>
        <w:t xml:space="preserve"> </w:t>
      </w:r>
      <w:r w:rsidRPr="00B2064A">
        <w:rPr>
          <w:rFonts w:ascii="Palatino Linotype" w:hAnsi="Palatino Linotype" w:cs="Arial"/>
          <w:i/>
        </w:rPr>
        <w:t>solicitada.</w:t>
      </w:r>
    </w:p>
    <w:p w:rsidR="00362BCA" w:rsidRPr="00B2064A" w:rsidRDefault="00362BCA" w:rsidP="00362BCA">
      <w:pPr>
        <w:ind w:left="851" w:right="899"/>
        <w:jc w:val="both"/>
        <w:rPr>
          <w:rFonts w:ascii="Palatino Linotype" w:hAnsi="Palatino Linotype" w:cs="Arial"/>
          <w:i/>
        </w:rPr>
      </w:pPr>
    </w:p>
    <w:p w:rsidR="00362BCA" w:rsidRPr="00B2064A" w:rsidRDefault="00362BCA" w:rsidP="00362BCA">
      <w:pPr>
        <w:ind w:left="851" w:right="899"/>
        <w:jc w:val="both"/>
        <w:rPr>
          <w:rFonts w:ascii="Palatino Linotype" w:hAnsi="Palatino Linotype" w:cs="Arial"/>
          <w:i/>
        </w:rPr>
      </w:pPr>
      <w:r w:rsidRPr="00B2064A">
        <w:rPr>
          <w:rFonts w:ascii="Palatino Linotype" w:hAnsi="Palatino Linotype" w:cs="Arial"/>
          <w:i/>
        </w:rPr>
        <w:t>ATENTAMENTE</w:t>
      </w:r>
    </w:p>
    <w:p w:rsidR="00362BCA" w:rsidRPr="00B2064A" w:rsidRDefault="00362BCA" w:rsidP="00362BCA">
      <w:pPr>
        <w:ind w:left="851" w:right="899"/>
        <w:jc w:val="both"/>
        <w:rPr>
          <w:rFonts w:ascii="Palatino Linotype" w:hAnsi="Palatino Linotype" w:cs="Arial"/>
          <w:i/>
        </w:rPr>
      </w:pPr>
    </w:p>
    <w:p w:rsidR="00362BCA" w:rsidRPr="00B2064A" w:rsidRDefault="00362BCA" w:rsidP="00362BCA">
      <w:pPr>
        <w:ind w:left="851" w:right="899"/>
        <w:jc w:val="both"/>
        <w:rPr>
          <w:rFonts w:ascii="Palatino Linotype" w:hAnsi="Palatino Linotype" w:cs="Arial"/>
          <w:i/>
        </w:rPr>
      </w:pPr>
      <w:r w:rsidRPr="00B2064A">
        <w:rPr>
          <w:rFonts w:ascii="Palatino Linotype" w:hAnsi="Palatino Linotype" w:cs="Arial"/>
          <w:i/>
        </w:rPr>
        <w:t>LIC. JORGE BERNÁLDEZ AGUILAR” (Sic)</w:t>
      </w:r>
    </w:p>
    <w:p w:rsidR="00B51EEB" w:rsidRPr="00AD2199" w:rsidRDefault="00B51EEB" w:rsidP="00B51EEB">
      <w:pPr>
        <w:spacing w:after="0" w:line="360" w:lineRule="auto"/>
        <w:jc w:val="both"/>
        <w:rPr>
          <w:rFonts w:ascii="Palatino Linotype" w:eastAsia="Times New Roman" w:hAnsi="Palatino Linotype" w:cs="Times New Roman"/>
          <w:i/>
          <w:sz w:val="24"/>
          <w:szCs w:val="24"/>
          <w:lang w:val="es-ES_tradnl" w:eastAsia="es-ES"/>
        </w:rPr>
      </w:pPr>
    </w:p>
    <w:p w:rsidR="00B51EEB" w:rsidRPr="00362BCA" w:rsidRDefault="00B51EEB" w:rsidP="00A16E7A">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A dicha respuest</w:t>
      </w:r>
      <w:r w:rsidR="00362BCA">
        <w:rPr>
          <w:rFonts w:ascii="Palatino Linotype" w:hAnsi="Palatino Linotype" w:cs="Arial"/>
          <w:sz w:val="24"/>
          <w:szCs w:val="24"/>
        </w:rPr>
        <w:t xml:space="preserve">a adjunto los siguientes archivos; </w:t>
      </w:r>
      <w:hyperlink r:id="rId7" w:tgtFrame="_blank" w:history="1">
        <w:r w:rsidR="00362BCA" w:rsidRPr="00362BCA">
          <w:rPr>
            <w:rFonts w:ascii="Palatino Linotype" w:hAnsi="Palatino Linotype" w:cs="Arial"/>
            <w:b/>
          </w:rPr>
          <w:t>OFICIO DE RESPUESTA.PDF</w:t>
        </w:r>
      </w:hyperlink>
      <w:r w:rsidR="00362BCA" w:rsidRPr="00362BCA">
        <w:rPr>
          <w:rFonts w:ascii="Palatino Linotype" w:hAnsi="Palatino Linotype" w:cs="Arial"/>
        </w:rPr>
        <w:t xml:space="preserve">, </w:t>
      </w:r>
      <w:hyperlink r:id="rId8" w:tgtFrame="_blank" w:history="1">
        <w:r w:rsidR="00362BCA" w:rsidRPr="00362BCA">
          <w:rPr>
            <w:rFonts w:ascii="Palatino Linotype" w:hAnsi="Palatino Linotype" w:cs="Arial"/>
            <w:b/>
          </w:rPr>
          <w:t>OFICIO SOLICITUD DE PAGO.PDF</w:t>
        </w:r>
      </w:hyperlink>
      <w:r w:rsidR="00362BCA" w:rsidRPr="00362BCA">
        <w:rPr>
          <w:rFonts w:ascii="Palatino Linotype" w:hAnsi="Palatino Linotype" w:cs="Arial"/>
        </w:rPr>
        <w:t xml:space="preserve">, </w:t>
      </w:r>
      <w:hyperlink r:id="rId9" w:tgtFrame="_blank" w:history="1">
        <w:r w:rsidR="00362BCA" w:rsidRPr="00362BCA">
          <w:rPr>
            <w:rFonts w:ascii="Palatino Linotype" w:hAnsi="Palatino Linotype" w:cs="Arial"/>
            <w:b/>
          </w:rPr>
          <w:t>CONVOCATORIA.PDF</w:t>
        </w:r>
      </w:hyperlink>
      <w:r w:rsidR="00362BCA" w:rsidRPr="00362BCA">
        <w:rPr>
          <w:rFonts w:ascii="Palatino Linotype" w:hAnsi="Palatino Linotype" w:cs="Arial"/>
        </w:rPr>
        <w:t xml:space="preserve">, </w:t>
      </w:r>
      <w:hyperlink r:id="rId10" w:tgtFrame="_blank" w:history="1">
        <w:r w:rsidR="00362BCA" w:rsidRPr="00362BCA">
          <w:rPr>
            <w:rFonts w:ascii="Palatino Linotype" w:hAnsi="Palatino Linotype" w:cs="Arial"/>
            <w:b/>
          </w:rPr>
          <w:t>OFICIO DE DESIGNACIÓN.PDF</w:t>
        </w:r>
      </w:hyperlink>
      <w:r w:rsidR="00362BCA" w:rsidRPr="00362BCA">
        <w:rPr>
          <w:rFonts w:ascii="Palatino Linotype" w:hAnsi="Palatino Linotype" w:cs="Arial"/>
        </w:rPr>
        <w:t xml:space="preserve">, </w:t>
      </w:r>
      <w:hyperlink r:id="rId11" w:tgtFrame="_blank" w:history="1">
        <w:r w:rsidR="00362BCA" w:rsidRPr="00362BCA">
          <w:rPr>
            <w:rFonts w:ascii="Palatino Linotype" w:hAnsi="Palatino Linotype" w:cs="Arial"/>
            <w:b/>
          </w:rPr>
          <w:t>Manual de Organización de la Secretaría de la Contraloría.PDF</w:t>
        </w:r>
      </w:hyperlink>
      <w:r w:rsidR="00362BCA" w:rsidRPr="00362BCA">
        <w:rPr>
          <w:rFonts w:ascii="Palatino Linotype" w:hAnsi="Palatino Linotype" w:cs="Arial"/>
          <w:b/>
        </w:rPr>
        <w:t xml:space="preserve"> </w:t>
      </w:r>
      <w:r w:rsidR="00362BCA" w:rsidRPr="00362BCA">
        <w:rPr>
          <w:rFonts w:ascii="Palatino Linotype" w:hAnsi="Palatino Linotype" w:cs="Arial"/>
        </w:rPr>
        <w:t xml:space="preserve">y </w:t>
      </w:r>
      <w:hyperlink r:id="rId12" w:tgtFrame="_blank" w:history="1">
        <w:r w:rsidR="00362BCA" w:rsidRPr="00362BCA">
          <w:rPr>
            <w:rFonts w:ascii="Palatino Linotype" w:hAnsi="Palatino Linotype" w:cs="Arial"/>
            <w:b/>
          </w:rPr>
          <w:t>RESOLUCIÓN VERSIONES PÚBLICAS.PDF</w:t>
        </w:r>
      </w:hyperlink>
      <w:r w:rsidR="00A16E7A">
        <w:rPr>
          <w:rFonts w:ascii="Palatino Linotype" w:hAnsi="Palatino Linotype" w:cs="Arial"/>
          <w:b/>
        </w:rPr>
        <w:t>.</w:t>
      </w:r>
    </w:p>
    <w:p w:rsidR="00362BCA" w:rsidRPr="00AD2199" w:rsidRDefault="00362BCA" w:rsidP="00A16E7A">
      <w:pPr>
        <w:pStyle w:val="Prrafodelista"/>
        <w:spacing w:after="0" w:line="360" w:lineRule="auto"/>
        <w:ind w:left="360"/>
        <w:jc w:val="both"/>
        <w:rPr>
          <w:rFonts w:ascii="Palatino Linotype" w:hAnsi="Palatino Linotype" w:cs="Arial"/>
          <w:sz w:val="24"/>
          <w:szCs w:val="24"/>
        </w:rPr>
      </w:pPr>
    </w:p>
    <w:p w:rsidR="00444048" w:rsidRDefault="0046491C" w:rsidP="00A16E7A">
      <w:pPr>
        <w:pStyle w:val="Prrafodelista"/>
        <w:numPr>
          <w:ilvl w:val="0"/>
          <w:numId w:val="1"/>
        </w:numPr>
        <w:spacing w:after="0" w:line="360" w:lineRule="auto"/>
        <w:ind w:left="0" w:firstLine="0"/>
        <w:jc w:val="both"/>
        <w:rPr>
          <w:rFonts w:ascii="Palatino Linotype" w:hAnsi="Palatino Linotype" w:cs="Arial"/>
          <w:sz w:val="24"/>
          <w:szCs w:val="24"/>
        </w:rPr>
      </w:pPr>
      <w:r w:rsidRPr="00CC2C65">
        <w:rPr>
          <w:rFonts w:ascii="Palatino Linotype" w:hAnsi="Palatino Linotype" w:cs="Arial"/>
          <w:sz w:val="24"/>
          <w:szCs w:val="24"/>
        </w:rPr>
        <w:t>En ese sentido,</w:t>
      </w:r>
      <w:r w:rsidRPr="00CC2C65">
        <w:rPr>
          <w:rFonts w:ascii="Palatino Linotype" w:hAnsi="Palatino Linotype" w:cs="Arial"/>
          <w:b/>
          <w:sz w:val="24"/>
          <w:szCs w:val="24"/>
        </w:rPr>
        <w:t xml:space="preserve"> </w:t>
      </w:r>
      <w:r w:rsidR="00AE4797" w:rsidRPr="00CC2C65">
        <w:rPr>
          <w:rFonts w:ascii="Palatino Linotype" w:hAnsi="Palatino Linotype" w:cs="Arial"/>
          <w:sz w:val="24"/>
          <w:szCs w:val="24"/>
        </w:rPr>
        <w:t>el particular</w:t>
      </w:r>
      <w:r w:rsidR="005F3760" w:rsidRPr="00CC2C65">
        <w:rPr>
          <w:rFonts w:ascii="Palatino Linotype" w:hAnsi="Palatino Linotype" w:cs="Arial"/>
          <w:sz w:val="24"/>
          <w:szCs w:val="24"/>
        </w:rPr>
        <w:t xml:space="preserve"> en sus motivos de inconformidad, ya no se duele por la totalidad de la información que le fue proporcionada, </w:t>
      </w:r>
      <w:r w:rsidR="00627EE5">
        <w:rPr>
          <w:rFonts w:ascii="Palatino Linotype" w:hAnsi="Palatino Linotype" w:cs="Arial"/>
          <w:sz w:val="24"/>
          <w:szCs w:val="24"/>
        </w:rPr>
        <w:t xml:space="preserve">únicamente </w:t>
      </w:r>
      <w:r w:rsidR="00627EE5" w:rsidRPr="00627EE5">
        <w:rPr>
          <w:rFonts w:ascii="Palatino Linotype" w:hAnsi="Palatino Linotype" w:cs="Arial"/>
          <w:sz w:val="24"/>
          <w:szCs w:val="24"/>
          <w:lang w:val="es-ES"/>
        </w:rPr>
        <w:t xml:space="preserve">se inconforma porque el sujeto obligado </w:t>
      </w:r>
      <w:r w:rsidR="00362BCA">
        <w:rPr>
          <w:rFonts w:ascii="Palatino Linotype" w:hAnsi="Palatino Linotype" w:cs="Arial"/>
          <w:sz w:val="24"/>
          <w:szCs w:val="24"/>
          <w:lang w:val="es-ES"/>
        </w:rPr>
        <w:t xml:space="preserve">realiza cobro por concepto de la información solicitada, consistente en 348 fojas, por lo que el particular deberá de cubrir el importe generado por el escaneo y la digitalización de los documentos.  </w:t>
      </w:r>
    </w:p>
    <w:p w:rsidR="00CC2C65" w:rsidRPr="00CC2C65" w:rsidRDefault="00CC2C65" w:rsidP="00CC2C65">
      <w:pPr>
        <w:pStyle w:val="Prrafodelista"/>
        <w:spacing w:before="240" w:after="240" w:line="360" w:lineRule="auto"/>
        <w:ind w:left="0"/>
        <w:jc w:val="both"/>
        <w:rPr>
          <w:rFonts w:ascii="Palatino Linotype" w:hAnsi="Palatino Linotype" w:cs="Arial"/>
          <w:sz w:val="24"/>
          <w:szCs w:val="24"/>
        </w:rPr>
      </w:pPr>
    </w:p>
    <w:p w:rsidR="00627EE5" w:rsidRPr="00627EE5" w:rsidRDefault="00627EE5" w:rsidP="00627EE5">
      <w:pPr>
        <w:pStyle w:val="Prrafodelista"/>
        <w:numPr>
          <w:ilvl w:val="0"/>
          <w:numId w:val="1"/>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lastRenderedPageBreak/>
        <w:t>E</w:t>
      </w:r>
      <w:r w:rsidR="0046491C" w:rsidRPr="00AD2199">
        <w:rPr>
          <w:rFonts w:ascii="Palatino Linotype" w:hAnsi="Palatino Linotype" w:cs="Arial"/>
          <w:sz w:val="24"/>
          <w:szCs w:val="24"/>
        </w:rPr>
        <w:t xml:space="preserve">s de destacar, </w:t>
      </w:r>
      <w:r w:rsidR="00AE4797" w:rsidRPr="00AD2199">
        <w:rPr>
          <w:rFonts w:ascii="Palatino Linotype" w:hAnsi="Palatino Linotype" w:cs="Arial"/>
          <w:sz w:val="24"/>
          <w:szCs w:val="24"/>
        </w:rPr>
        <w:t>que</w:t>
      </w:r>
      <w:r w:rsidR="005F3760" w:rsidRPr="00AD2199">
        <w:rPr>
          <w:rFonts w:ascii="Palatino Linotype" w:hAnsi="Palatino Linotype" w:cs="Arial"/>
          <w:sz w:val="24"/>
          <w:szCs w:val="24"/>
        </w:rPr>
        <w:t xml:space="preserve"> el Sujeto Obligado atiende  la solicitud de forma parcial</w:t>
      </w:r>
      <w:r>
        <w:rPr>
          <w:rFonts w:ascii="Palatino Linotype" w:hAnsi="Palatino Linotype" w:cs="Arial"/>
          <w:sz w:val="24"/>
          <w:szCs w:val="24"/>
        </w:rPr>
        <w:t>, no obstante</w:t>
      </w:r>
      <w:r w:rsidR="00AE4797" w:rsidRPr="00AD2199">
        <w:rPr>
          <w:rFonts w:ascii="Palatino Linotype" w:hAnsi="Palatino Linotype" w:cs="Arial"/>
          <w:sz w:val="24"/>
          <w:szCs w:val="24"/>
        </w:rPr>
        <w:t xml:space="preserve">, </w:t>
      </w:r>
      <w:r w:rsidR="0046491C" w:rsidRPr="00AD2199">
        <w:rPr>
          <w:rFonts w:ascii="Palatino Linotype" w:hAnsi="Palatino Linotype" w:cs="Arial"/>
          <w:sz w:val="24"/>
          <w:szCs w:val="24"/>
        </w:rPr>
        <w:t>en el estudio y desarrollo de dicha resolución fueron invocados los llamados actos consentidos, tal y como se observa en las siguientes líneas de la resolución en comento:</w:t>
      </w:r>
    </w:p>
    <w:p w:rsidR="00A16E7A" w:rsidRDefault="00A16E7A" w:rsidP="00A16E7A">
      <w:pPr>
        <w:pStyle w:val="Prrafodelista"/>
        <w:spacing w:line="360" w:lineRule="auto"/>
        <w:ind w:left="360"/>
        <w:jc w:val="both"/>
        <w:rPr>
          <w:rFonts w:ascii="Palatino Linotype" w:hAnsi="Palatino Linotype" w:cs="Arial"/>
        </w:rPr>
      </w:pPr>
    </w:p>
    <w:p w:rsidR="00A16E7A" w:rsidRPr="00A16E7A" w:rsidRDefault="00A16E7A" w:rsidP="00A16E7A">
      <w:pPr>
        <w:pStyle w:val="Prrafodelista"/>
        <w:spacing w:after="0" w:line="360" w:lineRule="auto"/>
        <w:ind w:left="360"/>
        <w:jc w:val="both"/>
        <w:rPr>
          <w:rFonts w:ascii="Palatino Linotype" w:hAnsi="Palatino Linotype" w:cs="Arial"/>
          <w:i/>
        </w:rPr>
      </w:pPr>
      <w:r w:rsidRPr="00A16E7A">
        <w:rPr>
          <w:rFonts w:ascii="Palatino Linotype" w:hAnsi="Palatino Linotype" w:cs="Arial"/>
          <w:i/>
        </w:rPr>
        <w:t xml:space="preserve">Atento a ello, primeramente es importante precisar que </w:t>
      </w:r>
      <w:r w:rsidRPr="00A16E7A">
        <w:rPr>
          <w:rFonts w:ascii="Palatino Linotype" w:hAnsi="Palatino Linotype" w:cs="Arial"/>
          <w:b/>
          <w:i/>
        </w:rPr>
        <w:t xml:space="preserve">EL RECURRENTE </w:t>
      </w:r>
      <w:r w:rsidRPr="00A16E7A">
        <w:rPr>
          <w:rFonts w:ascii="Palatino Linotype" w:hAnsi="Palatino Linotype" w:cs="Arial"/>
          <w:i/>
        </w:rPr>
        <w:t xml:space="preserve">al momento de presentar su recurso de revisión, únicamente se inconformó respecto del cobro realizado por </w:t>
      </w:r>
      <w:r w:rsidRPr="00A16E7A">
        <w:rPr>
          <w:rFonts w:ascii="Palatino Linotype" w:hAnsi="Palatino Linotype" w:cs="Arial"/>
          <w:b/>
          <w:i/>
        </w:rPr>
        <w:t xml:space="preserve">EL SUJETO OBLIGADO </w:t>
      </w:r>
      <w:r w:rsidRPr="00A16E7A">
        <w:rPr>
          <w:rFonts w:ascii="Palatino Linotype" w:hAnsi="Palatino Linotype" w:cs="Arial"/>
          <w:i/>
        </w:rPr>
        <w:t>con relación a la entrega de las resoluciones en donde se clasificó información reservada o confidencial, del periodo referido en la solicitud.</w:t>
      </w:r>
    </w:p>
    <w:p w:rsidR="00A16E7A" w:rsidRPr="00A16E7A" w:rsidRDefault="00A16E7A" w:rsidP="00A16E7A">
      <w:pPr>
        <w:pStyle w:val="Prrafodelista"/>
        <w:spacing w:after="0" w:line="360" w:lineRule="auto"/>
        <w:ind w:left="360"/>
        <w:jc w:val="both"/>
        <w:rPr>
          <w:rFonts w:ascii="Palatino Linotype" w:hAnsi="Palatino Linotype" w:cs="Arial"/>
          <w:i/>
        </w:rPr>
      </w:pPr>
    </w:p>
    <w:p w:rsidR="00A16E7A" w:rsidRPr="00A16E7A" w:rsidRDefault="00A16E7A" w:rsidP="00A16E7A">
      <w:pPr>
        <w:pStyle w:val="Prrafodelista"/>
        <w:spacing w:after="0" w:line="360" w:lineRule="auto"/>
        <w:ind w:left="360"/>
        <w:jc w:val="both"/>
        <w:rPr>
          <w:rFonts w:ascii="Palatino Linotype" w:hAnsi="Palatino Linotype"/>
          <w:i/>
        </w:rPr>
      </w:pPr>
      <w:r w:rsidRPr="00A16E7A">
        <w:rPr>
          <w:rFonts w:ascii="Palatino Linotype" w:eastAsia="Arial Unicode MS" w:hAnsi="Palatino Linotype" w:cs="Arial"/>
          <w:i/>
        </w:rPr>
        <w:t xml:space="preserve">Bajo este tenor, la parte de la respuesta que no fue impugnada debe declararse consentida, toda vez que al no realizar manifestaciones de inconformidad al respecto; no pueden producirse efectos jurídicos tendentes a revocar, confirmar o modificar el acto reclamado, </w:t>
      </w:r>
      <w:r w:rsidRPr="00A16E7A">
        <w:rPr>
          <w:rFonts w:ascii="Palatino Linotype" w:hAnsi="Palatino Linotype"/>
          <w:i/>
        </w:rPr>
        <w:t xml:space="preserve">ya que no realizó manifestación alguna al respecto. </w:t>
      </w:r>
    </w:p>
    <w:p w:rsidR="00A16E7A" w:rsidRPr="00A16E7A" w:rsidRDefault="00A16E7A" w:rsidP="00A16E7A">
      <w:pPr>
        <w:pStyle w:val="Prrafodelista"/>
        <w:spacing w:after="0" w:line="360" w:lineRule="auto"/>
        <w:ind w:left="360"/>
        <w:jc w:val="both"/>
        <w:rPr>
          <w:rFonts w:ascii="Palatino Linotype" w:hAnsi="Palatino Linotype"/>
          <w:i/>
        </w:rPr>
      </w:pPr>
    </w:p>
    <w:p w:rsidR="00A16E7A" w:rsidRPr="00A16E7A" w:rsidRDefault="00A16E7A" w:rsidP="00A16E7A">
      <w:pPr>
        <w:pStyle w:val="Prrafodelista"/>
        <w:spacing w:after="0" w:line="360" w:lineRule="auto"/>
        <w:ind w:left="360"/>
        <w:jc w:val="both"/>
        <w:rPr>
          <w:rFonts w:ascii="Palatino Linotype" w:hAnsi="Palatino Linotype"/>
          <w:i/>
        </w:rPr>
      </w:pPr>
      <w:r w:rsidRPr="00A16E7A">
        <w:rPr>
          <w:rFonts w:ascii="Palatino Linotype" w:hAnsi="Palatino Linotype"/>
          <w:i/>
        </w:rPr>
        <w:t>Sirve de sustento, la tesis jurisprudencial número VI.3o.C. J/60, publicada en el Semanario Judicial de la Federación y su Gaceta bajo el número de registro 176,608 que a la letra dice:</w:t>
      </w:r>
    </w:p>
    <w:p w:rsidR="00A16E7A" w:rsidRPr="00A16E7A" w:rsidRDefault="00A16E7A" w:rsidP="00A16E7A">
      <w:pPr>
        <w:pStyle w:val="Prrafodelista"/>
        <w:spacing w:after="0"/>
        <w:ind w:left="360"/>
        <w:jc w:val="both"/>
        <w:rPr>
          <w:rFonts w:ascii="Palatino Linotype" w:hAnsi="Palatino Linotype"/>
          <w:i/>
        </w:rPr>
      </w:pPr>
    </w:p>
    <w:p w:rsidR="00A16E7A" w:rsidRPr="00A16E7A" w:rsidRDefault="00A16E7A" w:rsidP="00A16E7A">
      <w:pPr>
        <w:pStyle w:val="Prrafodelista"/>
        <w:spacing w:after="0"/>
        <w:ind w:left="851" w:right="1183"/>
        <w:jc w:val="both"/>
        <w:rPr>
          <w:rFonts w:ascii="Palatino Linotype" w:hAnsi="Palatino Linotype"/>
          <w:i/>
        </w:rPr>
      </w:pPr>
      <w:r w:rsidRPr="00A16E7A">
        <w:rPr>
          <w:rFonts w:ascii="Palatino Linotype" w:hAnsi="Palatino Linotype"/>
          <w:b/>
          <w:bCs/>
          <w:i/>
        </w:rPr>
        <w:t xml:space="preserve">“ACTOS CONSENTIDOS. SON LOS QUE NO SE IMPUGNAN MEDIANTE EL RECURSO IDÓNEO. </w:t>
      </w:r>
      <w:r w:rsidRPr="00A16E7A">
        <w:rPr>
          <w:rFonts w:ascii="Palatino Linotype" w:hAnsi="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A16E7A" w:rsidRPr="00A16E7A" w:rsidRDefault="00A16E7A" w:rsidP="00A16E7A">
      <w:pPr>
        <w:spacing w:after="0"/>
        <w:jc w:val="both"/>
        <w:rPr>
          <w:rFonts w:ascii="Palatino Linotype" w:hAnsi="Palatino Linotype"/>
          <w:i/>
        </w:rPr>
      </w:pPr>
    </w:p>
    <w:p w:rsidR="00A16E7A" w:rsidRDefault="00A16E7A" w:rsidP="00A16E7A">
      <w:pPr>
        <w:pStyle w:val="Prrafodelista"/>
        <w:spacing w:after="0" w:line="360" w:lineRule="auto"/>
        <w:ind w:left="360"/>
        <w:jc w:val="both"/>
        <w:rPr>
          <w:rFonts w:ascii="Palatino Linotype" w:hAnsi="Palatino Linotype"/>
          <w:i/>
        </w:rPr>
      </w:pPr>
      <w:r w:rsidRPr="00A16E7A">
        <w:rPr>
          <w:rFonts w:ascii="Palatino Linotype" w:hAnsi="Palatino Linotype"/>
          <w:i/>
        </w:rPr>
        <w:lastRenderedPageBreak/>
        <w:t xml:space="preserve">Lo anterior es así, debido a que cuando </w:t>
      </w:r>
      <w:r w:rsidRPr="00A16E7A">
        <w:rPr>
          <w:rFonts w:ascii="Palatino Linotype" w:hAnsi="Palatino Linotype"/>
          <w:b/>
          <w:i/>
        </w:rPr>
        <w:t xml:space="preserve">EL RECURRENTE </w:t>
      </w:r>
      <w:r w:rsidRPr="00A16E7A">
        <w:rPr>
          <w:rFonts w:ascii="Palatino Linotype" w:hAnsi="Palatino Linotype"/>
          <w:i/>
        </w:rPr>
        <w:t xml:space="preserve">impugnó la respuesta del </w:t>
      </w:r>
      <w:r w:rsidRPr="00A16E7A">
        <w:rPr>
          <w:rFonts w:ascii="Palatino Linotype" w:hAnsi="Palatino Linotype"/>
          <w:b/>
          <w:i/>
        </w:rPr>
        <w:t>SUJETO OBLIGADO</w:t>
      </w:r>
      <w:r w:rsidRPr="00A16E7A">
        <w:rPr>
          <w:rFonts w:ascii="Palatino Linotype" w:hAnsi="Palatino Linotype"/>
          <w:i/>
        </w:rPr>
        <w:t xml:space="preserve">, y no expresó razón o motivo de inconformidad en contra de todos los rubros solicitados, dichos rubros deben declararse atendidos, pues se entiende que </w:t>
      </w:r>
      <w:r w:rsidRPr="00A16E7A">
        <w:rPr>
          <w:rFonts w:ascii="Palatino Linotype" w:hAnsi="Palatino Linotype"/>
          <w:b/>
          <w:i/>
        </w:rPr>
        <w:t>EL RECURRENTE</w:t>
      </w:r>
      <w:r w:rsidRPr="00A16E7A">
        <w:rPr>
          <w:rFonts w:ascii="Palatino Linotype" w:hAnsi="Palatino Linotype"/>
          <w:i/>
        </w:rPr>
        <w:t xml:space="preserve"> está conforme con la información entregada al no contravenir la misma. </w:t>
      </w:r>
    </w:p>
    <w:p w:rsidR="00A16E7A" w:rsidRPr="00A16E7A" w:rsidRDefault="00A16E7A" w:rsidP="00A16E7A">
      <w:pPr>
        <w:pStyle w:val="Prrafodelista"/>
        <w:spacing w:after="0" w:line="360" w:lineRule="auto"/>
        <w:ind w:left="360"/>
        <w:jc w:val="both"/>
        <w:rPr>
          <w:rFonts w:ascii="Palatino Linotype" w:hAnsi="Palatino Linotype"/>
          <w:i/>
        </w:rPr>
      </w:pPr>
    </w:p>
    <w:p w:rsidR="00A16E7A" w:rsidRPr="00A16E7A" w:rsidRDefault="00A16E7A" w:rsidP="00A16E7A">
      <w:pPr>
        <w:pStyle w:val="Prrafodelista"/>
        <w:spacing w:after="0" w:line="360" w:lineRule="auto"/>
        <w:ind w:left="360"/>
        <w:jc w:val="both"/>
        <w:rPr>
          <w:rFonts w:ascii="Palatino Linotype" w:hAnsi="Palatino Linotype"/>
          <w:i/>
        </w:rPr>
      </w:pPr>
      <w:r w:rsidRPr="00A16E7A">
        <w:rPr>
          <w:rFonts w:ascii="Palatino Linotype" w:hAnsi="Palatino Linotype"/>
          <w:i/>
        </w:rPr>
        <w:t>Atento a ello, es importante traer a contexto la Tesis Jurisprudencial Número 3ª./J.7/91, Publicada en el Semanario Judicial de la Federación y su Gaceta bajo el número de registro 174,177, que establece lo siguiente:</w:t>
      </w:r>
    </w:p>
    <w:p w:rsidR="00A16E7A" w:rsidRPr="00A16E7A" w:rsidRDefault="00A16E7A" w:rsidP="00A16E7A">
      <w:pPr>
        <w:pStyle w:val="Prrafodelista"/>
        <w:spacing w:after="0"/>
        <w:ind w:left="360"/>
        <w:jc w:val="both"/>
        <w:rPr>
          <w:rFonts w:ascii="Palatino Linotype" w:hAnsi="Palatino Linotype"/>
          <w:i/>
        </w:rPr>
      </w:pPr>
    </w:p>
    <w:p w:rsidR="00A16E7A" w:rsidRPr="00A16E7A" w:rsidRDefault="00A16E7A" w:rsidP="00A16E7A">
      <w:pPr>
        <w:pStyle w:val="Prrafodelista"/>
        <w:spacing w:after="0"/>
        <w:ind w:left="709" w:right="1041"/>
        <w:jc w:val="both"/>
        <w:rPr>
          <w:rFonts w:ascii="Palatino Linotype" w:hAnsi="Palatino Linotype"/>
          <w:bCs/>
          <w:i/>
          <w:iCs/>
        </w:rPr>
      </w:pPr>
      <w:r w:rsidRPr="00A16E7A">
        <w:rPr>
          <w:rFonts w:ascii="Palatino Linotype" w:hAnsi="Palatino Linotype"/>
          <w:b/>
          <w:i/>
        </w:rPr>
        <w:t xml:space="preserve">“REVISIÓN EN AMPARO. LOS RESOLUTIVOS NO COMBATIDOS DEBEN DECLARARSE FIRMES. </w:t>
      </w:r>
      <w:r w:rsidRPr="00A16E7A">
        <w:rPr>
          <w:rFonts w:ascii="Palatino Linotype" w:hAnsi="Palatino Linotype"/>
          <w:bCs/>
          <w:i/>
          <w:iCs/>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A16E7A">
        <w:rPr>
          <w:rFonts w:ascii="Palatino Linotype" w:hAnsi="Palatino Linotype"/>
          <w:i/>
        </w:rPr>
        <w:t>todos</w:t>
      </w:r>
      <w:r w:rsidRPr="00A16E7A">
        <w:rPr>
          <w:rFonts w:ascii="Palatino Linotype" w:hAnsi="Palatino Linotype"/>
          <w:bCs/>
          <w:i/>
          <w:iCs/>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A16E7A" w:rsidRPr="00A16E7A" w:rsidRDefault="00A16E7A" w:rsidP="00A16E7A">
      <w:pPr>
        <w:pStyle w:val="Prrafodelista"/>
        <w:spacing w:after="0"/>
        <w:ind w:left="360"/>
        <w:jc w:val="both"/>
        <w:rPr>
          <w:rFonts w:ascii="Palatino Linotype" w:hAnsi="Palatino Linotype" w:cs="Arial"/>
          <w:b/>
          <w:i/>
        </w:rPr>
      </w:pPr>
    </w:p>
    <w:p w:rsidR="00A16E7A" w:rsidRPr="00A16E7A" w:rsidRDefault="00A16E7A" w:rsidP="00A16E7A">
      <w:pPr>
        <w:pStyle w:val="Prrafodelista"/>
        <w:spacing w:after="0" w:line="360" w:lineRule="auto"/>
        <w:ind w:left="360"/>
        <w:jc w:val="both"/>
        <w:rPr>
          <w:rFonts w:ascii="Palatino Linotype" w:hAnsi="Palatino Linotype"/>
          <w:i/>
        </w:rPr>
      </w:pPr>
      <w:r w:rsidRPr="00A16E7A">
        <w:rPr>
          <w:rFonts w:ascii="Palatino Linotype" w:hAnsi="Palatino Linotype"/>
          <w:i/>
        </w:rPr>
        <w:t xml:space="preserve">Asimismo, no se omite comentar que al haber existido un pronunciamiento por parte del </w:t>
      </w:r>
      <w:r w:rsidRPr="00A16E7A">
        <w:rPr>
          <w:rFonts w:ascii="Palatino Linotype" w:hAnsi="Palatino Linotype"/>
          <w:b/>
          <w:i/>
        </w:rPr>
        <w:t>SUJETO OBLIGADO</w:t>
      </w:r>
      <w:r w:rsidRPr="00A16E7A">
        <w:rPr>
          <w:rFonts w:ascii="Palatino Linotype" w:hAnsi="Palatino Linotype"/>
          <w:i/>
        </w:rPr>
        <w:t xml:space="preserve">, a fin de dar respuesta a la solicitud planteada, este Instituto no está facultado para manifestarse sobre la veracidad de la información proporcionada, pues </w:t>
      </w:r>
      <w:r w:rsidRPr="00A16E7A">
        <w:rPr>
          <w:rFonts w:ascii="Palatino Linotype" w:hAnsi="Palatino Linotype"/>
          <w:i/>
          <w:lang w:val="es-ES_tradnl"/>
        </w:rPr>
        <w:t>este Órgano Garante conforme al artículo 36 de la Ley de la Materia, no se encuentra facultado para pronunciarse acerca de la veracidad de la información remitida por los Sujetos Obligados</w:t>
      </w:r>
      <w:r w:rsidRPr="00A16E7A">
        <w:rPr>
          <w:rFonts w:ascii="Palatino Linotype" w:hAnsi="Palatino Linotype"/>
          <w:i/>
        </w:rPr>
        <w:t>.</w:t>
      </w:r>
    </w:p>
    <w:p w:rsidR="00A16E7A" w:rsidRPr="00A16E7A" w:rsidRDefault="00A16E7A" w:rsidP="00A16E7A">
      <w:pPr>
        <w:spacing w:after="0" w:line="360" w:lineRule="auto"/>
        <w:jc w:val="both"/>
        <w:rPr>
          <w:rFonts w:ascii="Palatino Linotype" w:hAnsi="Palatino Linotype" w:cs="Arial"/>
          <w:i/>
          <w:lang w:val="es-ES_tradnl"/>
        </w:rPr>
      </w:pPr>
    </w:p>
    <w:p w:rsidR="00A16E7A" w:rsidRPr="00A16E7A" w:rsidRDefault="00A16E7A" w:rsidP="00A16E7A">
      <w:pPr>
        <w:pStyle w:val="Prrafodelista"/>
        <w:spacing w:after="0" w:line="360" w:lineRule="auto"/>
        <w:ind w:left="360"/>
        <w:jc w:val="both"/>
        <w:rPr>
          <w:rFonts w:ascii="Palatino Linotype" w:hAnsi="Palatino Linotype" w:cs="Arial"/>
          <w:i/>
          <w:lang w:val="es-ES_tradnl"/>
        </w:rPr>
      </w:pPr>
      <w:r w:rsidRPr="00A16E7A">
        <w:rPr>
          <w:rFonts w:ascii="Palatino Linotype" w:hAnsi="Palatino Linotype" w:cs="Arial"/>
          <w:i/>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rsidR="00A16E7A" w:rsidRPr="00A16E7A" w:rsidRDefault="00A16E7A" w:rsidP="00A16E7A">
      <w:pPr>
        <w:pStyle w:val="Prrafodelista"/>
        <w:spacing w:after="0"/>
        <w:ind w:left="360"/>
        <w:jc w:val="both"/>
        <w:rPr>
          <w:rFonts w:ascii="Palatino Linotype" w:hAnsi="Palatino Linotype" w:cs="Arial"/>
          <w:i/>
          <w:lang w:val="es-ES_tradnl"/>
        </w:rPr>
      </w:pPr>
    </w:p>
    <w:p w:rsidR="00A16E7A" w:rsidRPr="00A16E7A" w:rsidRDefault="00A16E7A" w:rsidP="00A16E7A">
      <w:pPr>
        <w:pStyle w:val="Prrafodelista"/>
        <w:spacing w:after="0"/>
        <w:ind w:left="709" w:right="757"/>
        <w:jc w:val="both"/>
        <w:rPr>
          <w:rFonts w:ascii="Palatino Linotype" w:hAnsi="Palatino Linotype" w:cs="Arial"/>
          <w:i/>
        </w:rPr>
      </w:pPr>
      <w:r w:rsidRPr="00A16E7A">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A16E7A">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A16E7A">
        <w:rPr>
          <w:rFonts w:ascii="Palatino Linotype" w:hAnsi="Palatino Linotype" w:cs="Arial"/>
          <w:i/>
        </w:rPr>
        <w:t>Marván</w:t>
      </w:r>
      <w:proofErr w:type="spellEnd"/>
      <w:r w:rsidRPr="00A16E7A">
        <w:rPr>
          <w:rFonts w:ascii="Palatino Linotype" w:hAnsi="Palatino Linotype" w:cs="Arial"/>
          <w:i/>
        </w:rPr>
        <w:t xml:space="preserve"> Laborde 2395/09 Secretaría de Economía - María </w:t>
      </w:r>
      <w:proofErr w:type="spellStart"/>
      <w:r w:rsidRPr="00A16E7A">
        <w:rPr>
          <w:rFonts w:ascii="Palatino Linotype" w:hAnsi="Palatino Linotype" w:cs="Arial"/>
          <w:i/>
        </w:rPr>
        <w:t>Marván</w:t>
      </w:r>
      <w:proofErr w:type="spellEnd"/>
      <w:r w:rsidRPr="00A16E7A">
        <w:rPr>
          <w:rFonts w:ascii="Palatino Linotype" w:hAnsi="Palatino Linotype" w:cs="Arial"/>
          <w:i/>
        </w:rPr>
        <w:t xml:space="preserve"> Laborde 0837/10 Administración Portuaria Integral de Veracruz, S.A. de C.V. – María </w:t>
      </w:r>
      <w:proofErr w:type="spellStart"/>
      <w:r w:rsidRPr="00A16E7A">
        <w:rPr>
          <w:rFonts w:ascii="Palatino Linotype" w:hAnsi="Palatino Linotype" w:cs="Arial"/>
          <w:i/>
        </w:rPr>
        <w:t>Marván</w:t>
      </w:r>
      <w:proofErr w:type="spellEnd"/>
      <w:r w:rsidRPr="00A16E7A">
        <w:rPr>
          <w:rFonts w:ascii="Palatino Linotype" w:hAnsi="Palatino Linotype" w:cs="Arial"/>
          <w:i/>
        </w:rPr>
        <w:t xml:space="preserve"> Laborde </w:t>
      </w:r>
    </w:p>
    <w:p w:rsidR="00A16E7A" w:rsidRPr="00A16E7A" w:rsidRDefault="00A16E7A" w:rsidP="00A16E7A">
      <w:pPr>
        <w:pStyle w:val="Prrafodelista"/>
        <w:spacing w:after="0"/>
        <w:ind w:left="709" w:right="757"/>
        <w:jc w:val="both"/>
        <w:rPr>
          <w:rFonts w:ascii="Palatino Linotype" w:hAnsi="Palatino Linotype" w:cs="Arial"/>
          <w:b/>
          <w:i/>
        </w:rPr>
      </w:pPr>
      <w:r w:rsidRPr="00A16E7A">
        <w:rPr>
          <w:rFonts w:ascii="Palatino Linotype" w:hAnsi="Palatino Linotype" w:cs="Arial"/>
          <w:i/>
        </w:rPr>
        <w:t>Criterio 31/10</w:t>
      </w:r>
      <w:r w:rsidRPr="00A16E7A">
        <w:rPr>
          <w:rFonts w:ascii="Palatino Linotype" w:hAnsi="Palatino Linotype" w:cs="Arial"/>
          <w:b/>
          <w:i/>
        </w:rPr>
        <w:t>”</w:t>
      </w:r>
      <w:r w:rsidRPr="00A16E7A">
        <w:rPr>
          <w:rFonts w:ascii="Palatino Linotype" w:hAnsi="Palatino Linotype" w:cs="Arial"/>
          <w:i/>
        </w:rPr>
        <w:t xml:space="preserve"> (sic)</w:t>
      </w:r>
    </w:p>
    <w:p w:rsidR="00627EE5" w:rsidRPr="00627EE5" w:rsidRDefault="00627EE5" w:rsidP="00A16E7A">
      <w:pPr>
        <w:spacing w:after="0"/>
        <w:ind w:right="616"/>
        <w:jc w:val="both"/>
        <w:rPr>
          <w:rFonts w:ascii="Palatino Linotype" w:hAnsi="Palatino Linotype"/>
          <w:i/>
          <w:color w:val="000000"/>
          <w:sz w:val="24"/>
          <w:szCs w:val="24"/>
          <w:lang w:val="es-ES"/>
        </w:rPr>
      </w:pPr>
    </w:p>
    <w:p w:rsidR="00A16E7A" w:rsidRPr="00A16E7A" w:rsidRDefault="0046491C" w:rsidP="00A16E7A">
      <w:pPr>
        <w:pStyle w:val="Prrafodelista"/>
        <w:numPr>
          <w:ilvl w:val="0"/>
          <w:numId w:val="1"/>
        </w:numPr>
        <w:spacing w:after="0" w:line="360" w:lineRule="auto"/>
        <w:ind w:left="0" w:right="49" w:firstLine="0"/>
        <w:jc w:val="both"/>
        <w:rPr>
          <w:rFonts w:ascii="Palatino Linotype" w:hAnsi="Palatino Linotype" w:cs="Arial"/>
          <w:sz w:val="24"/>
          <w:szCs w:val="24"/>
        </w:rPr>
      </w:pPr>
      <w:r w:rsidRPr="00AD2199">
        <w:rPr>
          <w:rFonts w:ascii="Palatino Linotype" w:hAnsi="Palatino Linotype" w:cs="Arial"/>
          <w:sz w:val="24"/>
          <w:szCs w:val="24"/>
        </w:rPr>
        <w:t>Derivado de lo transcrito con anterioridad, considero que la</w:t>
      </w:r>
      <w:r w:rsidR="00260D6C" w:rsidRPr="00AD2199">
        <w:rPr>
          <w:rFonts w:ascii="Palatino Linotype" w:hAnsi="Palatino Linotype" w:cs="Arial"/>
          <w:sz w:val="24"/>
          <w:szCs w:val="24"/>
        </w:rPr>
        <w:t xml:space="preserve"> incorporación de dicho argumento</w:t>
      </w:r>
      <w:r w:rsidRPr="00AD2199">
        <w:rPr>
          <w:rFonts w:ascii="Palatino Linotype" w:hAnsi="Palatino Linotype" w:cs="Arial"/>
          <w:sz w:val="24"/>
          <w:szCs w:val="24"/>
        </w:rPr>
        <w:t xml:space="preserve"> en la resolución en comento resulta a todas luces innecesari</w:t>
      </w:r>
      <w:r w:rsidR="00E61AB8" w:rsidRPr="00AD2199">
        <w:rPr>
          <w:rFonts w:ascii="Palatino Linotype" w:hAnsi="Palatino Linotype" w:cs="Arial"/>
          <w:sz w:val="24"/>
          <w:szCs w:val="24"/>
        </w:rPr>
        <w:t xml:space="preserve">o y además no da </w:t>
      </w:r>
      <w:r w:rsidRPr="00AD2199">
        <w:rPr>
          <w:rFonts w:ascii="Palatino Linotype" w:hAnsi="Palatino Linotype" w:cs="Arial"/>
          <w:sz w:val="24"/>
          <w:szCs w:val="24"/>
        </w:rPr>
        <w:t>lugar a invocarlos en el derecho humano fundamental de acceder a la información pública gubernamental.</w:t>
      </w:r>
      <w:r w:rsidRPr="00AD2199">
        <w:rPr>
          <w:rFonts w:ascii="Palatino Linotype" w:eastAsia="Calibri" w:hAnsi="Palatino Linotype" w:cs="Times New Roman"/>
          <w:sz w:val="24"/>
          <w:szCs w:val="24"/>
          <w:lang w:val="es-ES" w:eastAsia="es-ES"/>
        </w:rPr>
        <w:t xml:space="preserve"> Por lo que la mayoría consideró que la respuesta quedó firme ante la falta de impugnación respecto al resto de los requerimientos que no fueron manifestados en el recurso de revisión. En el presente asunto que nos ocupa, es de señalar que del análisis hecho a la resolución en </w:t>
      </w:r>
      <w:r w:rsidRPr="00AD2199">
        <w:rPr>
          <w:rFonts w:ascii="Palatino Linotype" w:eastAsia="Calibri" w:hAnsi="Palatino Linotype" w:cs="Times New Roman"/>
          <w:sz w:val="24"/>
          <w:szCs w:val="24"/>
          <w:lang w:val="es-ES" w:eastAsia="es-ES"/>
        </w:rPr>
        <w:lastRenderedPageBreak/>
        <w:t xml:space="preserve">comento, no se discute que el </w:t>
      </w:r>
      <w:r w:rsidRPr="00AD2199">
        <w:rPr>
          <w:rFonts w:ascii="Palatino Linotype" w:eastAsia="Calibri" w:hAnsi="Palatino Linotype" w:cs="Times New Roman"/>
          <w:b/>
          <w:sz w:val="24"/>
          <w:szCs w:val="24"/>
          <w:lang w:val="es-ES" w:eastAsia="es-ES"/>
        </w:rPr>
        <w:t>SUJETO OBLIGADO</w:t>
      </w:r>
      <w:r w:rsidRPr="00AD2199">
        <w:rPr>
          <w:rFonts w:ascii="Palatino Linotype" w:eastAsia="Calibri" w:hAnsi="Palatino Linotype" w:cs="Times New Roman"/>
          <w:sz w:val="24"/>
          <w:szCs w:val="24"/>
          <w:lang w:val="es-ES" w:eastAsia="es-ES"/>
        </w:rPr>
        <w:t xml:space="preserve"> ha dado respuesta a la solicitud de información</w:t>
      </w:r>
      <w:r w:rsidR="00260D6C" w:rsidRPr="00AD2199">
        <w:rPr>
          <w:rFonts w:ascii="Palatino Linotype" w:eastAsia="Calibri" w:hAnsi="Palatino Linotype" w:cs="Times New Roman"/>
          <w:sz w:val="24"/>
          <w:szCs w:val="24"/>
          <w:lang w:val="es-ES" w:eastAsia="es-ES"/>
        </w:rPr>
        <w:t xml:space="preserve"> en lo particular</w:t>
      </w:r>
      <w:r w:rsidRPr="00AD2199">
        <w:rPr>
          <w:rFonts w:ascii="Palatino Linotype" w:eastAsia="Calibri" w:hAnsi="Palatino Linotype" w:cs="Times New Roman"/>
          <w:sz w:val="24"/>
          <w:szCs w:val="24"/>
          <w:lang w:val="es-ES" w:eastAsia="es-ES"/>
        </w:rPr>
        <w:t>, t</w:t>
      </w:r>
      <w:r w:rsidR="00260D6C" w:rsidRPr="00AD2199">
        <w:rPr>
          <w:rFonts w:ascii="Palatino Linotype" w:eastAsia="Calibri" w:hAnsi="Palatino Linotype" w:cs="Times New Roman"/>
          <w:sz w:val="24"/>
          <w:szCs w:val="24"/>
          <w:lang w:val="es-ES" w:eastAsia="es-ES"/>
        </w:rPr>
        <w:t xml:space="preserve">an es así que al analizar la respuesta emitida se concluyó que colmó con </w:t>
      </w:r>
      <w:r w:rsidRPr="00AD2199">
        <w:rPr>
          <w:rFonts w:ascii="Palatino Linotype" w:eastAsia="Calibri" w:hAnsi="Palatino Linotype" w:cs="Times New Roman"/>
          <w:sz w:val="24"/>
          <w:szCs w:val="24"/>
          <w:lang w:val="es-ES" w:eastAsia="es-ES"/>
        </w:rPr>
        <w:t xml:space="preserve">el derecho de acceso a la información, </w:t>
      </w:r>
      <w:r w:rsidR="00260D6C" w:rsidRPr="00AD2199">
        <w:rPr>
          <w:rFonts w:ascii="Palatino Linotype" w:eastAsia="Calibri" w:hAnsi="Palatino Linotype" w:cs="Times New Roman"/>
          <w:sz w:val="24"/>
          <w:szCs w:val="24"/>
          <w:lang w:val="es-ES" w:eastAsia="es-ES"/>
        </w:rPr>
        <w:t xml:space="preserve">lo que en mi parecer </w:t>
      </w:r>
      <w:r w:rsidRPr="00AD2199">
        <w:rPr>
          <w:rFonts w:ascii="Palatino Linotype" w:eastAsia="Calibri" w:hAnsi="Palatino Linotype" w:cs="Times New Roman"/>
          <w:sz w:val="24"/>
          <w:szCs w:val="24"/>
          <w:lang w:val="es-ES" w:eastAsia="es-ES"/>
        </w:rPr>
        <w:t>considero, es innecesario señalar</w:t>
      </w:r>
      <w:r w:rsidR="00194B6A" w:rsidRPr="00AD2199">
        <w:rPr>
          <w:rFonts w:ascii="Palatino Linotype" w:eastAsia="Calibri" w:hAnsi="Palatino Linotype" w:cs="Times New Roman"/>
          <w:sz w:val="24"/>
          <w:szCs w:val="24"/>
          <w:lang w:val="es-ES" w:eastAsia="es-ES"/>
        </w:rPr>
        <w:t xml:space="preserve"> la figura de actos consentidos, éste instituto como órgano garante, es su deber velar por el cabal cumplimiento al derecho humano del acceso a la información, mas no limita</w:t>
      </w:r>
      <w:r w:rsidR="0001046D" w:rsidRPr="00AD2199">
        <w:rPr>
          <w:rFonts w:ascii="Palatino Linotype" w:eastAsia="Calibri" w:hAnsi="Palatino Linotype" w:cs="Times New Roman"/>
          <w:sz w:val="24"/>
          <w:szCs w:val="24"/>
          <w:lang w:val="es-ES" w:eastAsia="es-ES"/>
        </w:rPr>
        <w:t>rlo invocando el multicitado argumento de</w:t>
      </w:r>
      <w:r w:rsidR="00194B6A" w:rsidRPr="00AD2199">
        <w:rPr>
          <w:rFonts w:ascii="Palatino Linotype" w:eastAsia="Calibri" w:hAnsi="Palatino Linotype" w:cs="Times New Roman"/>
          <w:sz w:val="24"/>
          <w:szCs w:val="24"/>
          <w:lang w:val="es-ES" w:eastAsia="es-ES"/>
        </w:rPr>
        <w:t xml:space="preserve"> actos consentidos.</w:t>
      </w:r>
    </w:p>
    <w:p w:rsidR="00A16E7A" w:rsidRPr="00A16E7A" w:rsidRDefault="00A16E7A" w:rsidP="00A16E7A">
      <w:pPr>
        <w:pStyle w:val="Prrafodelista"/>
        <w:spacing w:after="0" w:line="360" w:lineRule="auto"/>
        <w:ind w:left="0" w:right="49"/>
        <w:jc w:val="both"/>
        <w:rPr>
          <w:rFonts w:ascii="Palatino Linotype" w:hAnsi="Palatino Linotype" w:cs="Arial"/>
          <w:sz w:val="24"/>
          <w:szCs w:val="24"/>
        </w:rPr>
      </w:pPr>
    </w:p>
    <w:p w:rsidR="0046491C" w:rsidRPr="00A16E7A" w:rsidRDefault="0046491C" w:rsidP="00A16E7A">
      <w:pPr>
        <w:pStyle w:val="Ttulo1"/>
        <w:numPr>
          <w:ilvl w:val="0"/>
          <w:numId w:val="12"/>
        </w:numPr>
        <w:spacing w:before="0" w:line="360" w:lineRule="auto"/>
        <w:ind w:left="0" w:firstLine="0"/>
        <w:rPr>
          <w:rFonts w:ascii="Palatino Linotype" w:hAnsi="Palatino Linotype"/>
          <w:b/>
          <w:color w:val="auto"/>
          <w:sz w:val="24"/>
          <w:szCs w:val="24"/>
        </w:rPr>
      </w:pPr>
      <w:bookmarkStart w:id="2" w:name="_Toc526160282"/>
      <w:r w:rsidRPr="00AD2199">
        <w:rPr>
          <w:rFonts w:ascii="Palatino Linotype" w:hAnsi="Palatino Linotype"/>
          <w:b/>
          <w:color w:val="auto"/>
          <w:sz w:val="24"/>
          <w:szCs w:val="24"/>
        </w:rPr>
        <w:t>Los actos consentidos no deben invocar</w:t>
      </w:r>
      <w:r w:rsidR="00A16E7A">
        <w:rPr>
          <w:rFonts w:ascii="Palatino Linotype" w:hAnsi="Palatino Linotype"/>
          <w:b/>
          <w:color w:val="auto"/>
          <w:sz w:val="24"/>
          <w:szCs w:val="24"/>
        </w:rPr>
        <w:t xml:space="preserve">se en el derecho fundamental de </w:t>
      </w:r>
      <w:r w:rsidRPr="00A16E7A">
        <w:rPr>
          <w:rFonts w:ascii="Palatino Linotype" w:hAnsi="Palatino Linotype"/>
          <w:b/>
          <w:color w:val="auto"/>
          <w:sz w:val="24"/>
          <w:szCs w:val="24"/>
        </w:rPr>
        <w:t>acceder a la información pública gubernamental.</w:t>
      </w:r>
      <w:bookmarkEnd w:id="2"/>
    </w:p>
    <w:p w:rsidR="0046491C" w:rsidRPr="00AD2199" w:rsidRDefault="0046491C" w:rsidP="00E34F08">
      <w:pPr>
        <w:pStyle w:val="Prrafodelista"/>
        <w:spacing w:after="0" w:line="360" w:lineRule="auto"/>
        <w:ind w:left="1080"/>
        <w:jc w:val="both"/>
        <w:rPr>
          <w:rFonts w:ascii="Palatino Linotype" w:hAnsi="Palatino Linotype" w:cs="Arial"/>
          <w:b/>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En la resolución se precisa, un criterio </w:t>
      </w:r>
      <w:r w:rsidR="00260D6C" w:rsidRPr="00AD2199">
        <w:rPr>
          <w:rFonts w:ascii="Palatino Linotype" w:hAnsi="Palatino Linotype" w:cs="Arial"/>
          <w:sz w:val="24"/>
          <w:szCs w:val="24"/>
        </w:rPr>
        <w:t>denominado</w:t>
      </w:r>
      <w:r w:rsidRPr="00AD2199">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AD2199">
        <w:rPr>
          <w:rFonts w:ascii="Palatino Linotype" w:hAnsi="Palatino Linotype" w:cs="Arial"/>
          <w:b/>
          <w:sz w:val="24"/>
          <w:szCs w:val="24"/>
        </w:rPr>
        <w:t>acudir a un profesionista del derecho</w:t>
      </w:r>
      <w:r w:rsidRPr="00AD2199">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w:t>
      </w:r>
      <w:r w:rsidRPr="00AD2199">
        <w:rPr>
          <w:rFonts w:ascii="Palatino Linotype" w:hAnsi="Palatino Linotype" w:cs="Arial"/>
          <w:sz w:val="24"/>
          <w:szCs w:val="24"/>
        </w:rPr>
        <w:lastRenderedPageBreak/>
        <w:t>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AD2199" w:rsidRDefault="0046491C" w:rsidP="00315529">
      <w:pPr>
        <w:pStyle w:val="Prrafodelista"/>
        <w:spacing w:after="0" w:line="360" w:lineRule="auto"/>
        <w:ind w:left="0"/>
        <w:jc w:val="both"/>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La figura de la suplencia de la queja, para Héctor </w:t>
      </w:r>
      <w:proofErr w:type="spellStart"/>
      <w:r w:rsidRPr="00AD2199">
        <w:rPr>
          <w:rFonts w:ascii="Palatino Linotype" w:hAnsi="Palatino Linotype" w:cs="Arial"/>
          <w:sz w:val="24"/>
          <w:szCs w:val="24"/>
        </w:rPr>
        <w:t>Fix</w:t>
      </w:r>
      <w:proofErr w:type="spellEnd"/>
      <w:r w:rsidRPr="00AD2199">
        <w:rPr>
          <w:rFonts w:ascii="Palatino Linotype" w:hAnsi="Palatino Linotype" w:cs="Arial"/>
          <w:sz w:val="24"/>
          <w:szCs w:val="24"/>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AD2199">
        <w:rPr>
          <w:rStyle w:val="Refdenotaalpie"/>
          <w:rFonts w:ascii="Palatino Linotype" w:hAnsi="Palatino Linotype" w:cs="Arial"/>
          <w:sz w:val="24"/>
          <w:szCs w:val="24"/>
        </w:rPr>
        <w:footnoteReference w:id="1"/>
      </w:r>
      <w:r w:rsidRPr="00AD2199">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AD2199">
        <w:rPr>
          <w:rStyle w:val="Refdenotaalpie"/>
          <w:rFonts w:ascii="Palatino Linotype" w:hAnsi="Palatino Linotype" w:cs="Arial"/>
          <w:sz w:val="24"/>
          <w:szCs w:val="24"/>
        </w:rPr>
        <w:footnoteReference w:id="2"/>
      </w:r>
      <w:r w:rsidRPr="00AD2199">
        <w:rPr>
          <w:rFonts w:ascii="Palatino Linotype" w:hAnsi="Palatino Linotype" w:cs="Arial"/>
          <w:sz w:val="24"/>
          <w:szCs w:val="24"/>
        </w:rPr>
        <w:t xml:space="preserve"> </w:t>
      </w:r>
    </w:p>
    <w:p w:rsidR="0046491C" w:rsidRPr="00AD2199" w:rsidRDefault="0046491C" w:rsidP="00E34F08">
      <w:pPr>
        <w:pStyle w:val="Prrafodelista"/>
        <w:spacing w:line="360" w:lineRule="auto"/>
        <w:jc w:val="both"/>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Además es necesario precisar que el presente es un procedimiento cuasi jurisdiccional porque no hay partes en conflicto, por lo tanto lo que este Órgano Garante realice en materia de suplencia de la queja no afecta la igualdad de las partes </w:t>
      </w:r>
      <w:r w:rsidRPr="00AD2199">
        <w:rPr>
          <w:rFonts w:ascii="Palatino Linotype" w:hAnsi="Palatino Linotype" w:cs="Arial"/>
          <w:sz w:val="24"/>
          <w:szCs w:val="24"/>
        </w:rPr>
        <w:lastRenderedPageBreak/>
        <w:t>sino procura el cumplimiento de los deberes de protección del derecho humano a partir del criterio que más le favorezca.</w:t>
      </w:r>
    </w:p>
    <w:p w:rsidR="0046491C" w:rsidRPr="00AD2199" w:rsidRDefault="0046491C" w:rsidP="00E34F08">
      <w:pPr>
        <w:spacing w:after="0" w:line="360" w:lineRule="auto"/>
        <w:jc w:val="both"/>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AD2199">
        <w:rPr>
          <w:rFonts w:ascii="Palatino Linotype" w:hAnsi="Palatino Linotype" w:cs="Arial"/>
          <w:b/>
          <w:sz w:val="24"/>
          <w:szCs w:val="24"/>
        </w:rPr>
        <w:t>garantía de los derech</w:t>
      </w:r>
      <w:bookmarkStart w:id="3" w:name="_GoBack"/>
      <w:bookmarkEnd w:id="3"/>
      <w:r w:rsidRPr="00AD2199">
        <w:rPr>
          <w:rFonts w:ascii="Palatino Linotype" w:hAnsi="Palatino Linotype" w:cs="Arial"/>
          <w:b/>
          <w:sz w:val="24"/>
          <w:szCs w:val="24"/>
        </w:rPr>
        <w:t>os humanos</w:t>
      </w:r>
      <w:r w:rsidRPr="00AD2199">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46491C" w:rsidRPr="00AD2199" w:rsidRDefault="0046491C" w:rsidP="00315529">
      <w:pPr>
        <w:spacing w:after="0" w:line="360" w:lineRule="auto"/>
        <w:jc w:val="both"/>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En este sentido el Dr. Miguel Carbonell ha señalado que:</w:t>
      </w:r>
    </w:p>
    <w:p w:rsidR="0046491C" w:rsidRPr="00AD2199" w:rsidRDefault="0046491C" w:rsidP="00315529">
      <w:pPr>
        <w:pStyle w:val="Prrafodelista"/>
        <w:spacing w:after="0" w:line="360" w:lineRule="auto"/>
        <w:ind w:left="0"/>
        <w:jc w:val="both"/>
        <w:rPr>
          <w:rFonts w:ascii="Palatino Linotype" w:hAnsi="Palatino Linotype" w:cs="Arial"/>
          <w:sz w:val="24"/>
          <w:szCs w:val="24"/>
        </w:rPr>
      </w:pPr>
    </w:p>
    <w:p w:rsidR="0046491C" w:rsidRPr="00AD2199" w:rsidRDefault="0046491C" w:rsidP="00315529">
      <w:pPr>
        <w:pStyle w:val="Prrafodelista"/>
        <w:spacing w:after="0" w:line="360" w:lineRule="auto"/>
        <w:ind w:left="0"/>
        <w:jc w:val="both"/>
        <w:rPr>
          <w:rFonts w:ascii="Palatino Linotype" w:hAnsi="Palatino Linotype" w:cs="Arial"/>
          <w:sz w:val="24"/>
          <w:szCs w:val="24"/>
        </w:rPr>
      </w:pPr>
      <w:r w:rsidRPr="00AD2199">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AD2199">
        <w:rPr>
          <w:rFonts w:ascii="Palatino Linotype" w:hAnsi="Palatino Linotype" w:cs="Arial"/>
          <w:b/>
          <w:sz w:val="24"/>
          <w:szCs w:val="24"/>
        </w:rPr>
        <w:t>considerando que algún nivel de gobierno tenga obligaciones reforzadas hacia ciertos derechos.</w:t>
      </w:r>
      <w:r w:rsidRPr="00AD2199">
        <w:rPr>
          <w:rFonts w:ascii="Palatino Linotype" w:hAnsi="Palatino Linotype" w:cs="Arial"/>
          <w:sz w:val="24"/>
          <w:szCs w:val="24"/>
        </w:rPr>
        <w:t xml:space="preserve"> A partir de tales deberes generales, podemos afirmar que las autoridades de todos los niveles de gobierno también tienen la obligación positiva </w:t>
      </w:r>
      <w:r w:rsidRPr="00AD2199">
        <w:rPr>
          <w:rFonts w:ascii="Palatino Linotype" w:hAnsi="Palatino Linotype" w:cs="Arial"/>
          <w:sz w:val="24"/>
          <w:szCs w:val="24"/>
        </w:rPr>
        <w:lastRenderedPageBreak/>
        <w:t xml:space="preserve">de </w:t>
      </w:r>
      <w:r w:rsidRPr="00AD2199">
        <w:rPr>
          <w:rFonts w:ascii="Palatino Linotype" w:hAnsi="Palatino Linotype" w:cs="Arial"/>
          <w:b/>
          <w:sz w:val="24"/>
          <w:szCs w:val="24"/>
        </w:rPr>
        <w:t>tomar todas las medidas que sean pertinentes para tutelar y hacer eficaz un derecho</w:t>
      </w:r>
      <w:r w:rsidRPr="00AD2199">
        <w:rPr>
          <w:rFonts w:ascii="Palatino Linotype" w:hAnsi="Palatino Linotype" w:cs="Arial"/>
          <w:sz w:val="24"/>
          <w:szCs w:val="24"/>
        </w:rPr>
        <w:t>”.</w:t>
      </w:r>
      <w:r w:rsidRPr="00AD2199">
        <w:rPr>
          <w:rStyle w:val="Refdenotaalpie"/>
          <w:rFonts w:ascii="Palatino Linotype" w:hAnsi="Palatino Linotype" w:cs="Arial"/>
          <w:sz w:val="24"/>
          <w:szCs w:val="24"/>
        </w:rPr>
        <w:footnoteReference w:id="3"/>
      </w:r>
    </w:p>
    <w:p w:rsidR="0046491C" w:rsidRPr="00AD2199" w:rsidRDefault="0046491C" w:rsidP="00E34F08">
      <w:pPr>
        <w:pStyle w:val="Prrafodelista"/>
        <w:spacing w:after="0" w:line="360" w:lineRule="auto"/>
        <w:ind w:left="426"/>
        <w:jc w:val="both"/>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 Por lo que restringir el derecho de acceso a la información pública del particular</w:t>
      </w:r>
      <w:r w:rsidRPr="00AD2199">
        <w:rPr>
          <w:rFonts w:ascii="Palatino Linotype" w:hAnsi="Palatino Linotype" w:cs="Arial"/>
          <w:b/>
          <w:sz w:val="24"/>
          <w:szCs w:val="24"/>
        </w:rPr>
        <w:t xml:space="preserve"> </w:t>
      </w:r>
      <w:r w:rsidRPr="00AD2199">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AD2199" w:rsidRDefault="0046491C" w:rsidP="00E34F08">
      <w:pPr>
        <w:pStyle w:val="Prrafodelista"/>
        <w:spacing w:after="0" w:line="360" w:lineRule="auto"/>
        <w:jc w:val="both"/>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w:t>
      </w:r>
      <w:r w:rsidRPr="00AD2199">
        <w:rPr>
          <w:rFonts w:ascii="Palatino Linotype" w:hAnsi="Palatino Linotype" w:cs="Arial"/>
          <w:sz w:val="24"/>
          <w:szCs w:val="24"/>
        </w:rPr>
        <w:lastRenderedPageBreak/>
        <w:t>normas generales reproducidas estrictamente por los jueces, o como el orden pacífico surgido del libre goce y disponibilidad de los derechos individuales, monopolizará el horizonte axiológico de los juristas decimonónicos”.</w:t>
      </w:r>
    </w:p>
    <w:p w:rsidR="0046491C" w:rsidRPr="00AD2199" w:rsidRDefault="0046491C" w:rsidP="00A16E7A">
      <w:pPr>
        <w:pStyle w:val="Prrafodelista"/>
        <w:spacing w:after="0" w:line="360" w:lineRule="auto"/>
        <w:jc w:val="both"/>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AD2199">
        <w:rPr>
          <w:rFonts w:ascii="Palatino Linotype" w:hAnsi="Palatino Linotype" w:cs="Arial"/>
          <w:sz w:val="24"/>
          <w:szCs w:val="24"/>
        </w:rPr>
        <w:t>Cotta</w:t>
      </w:r>
      <w:proofErr w:type="spellEnd"/>
      <w:r w:rsidRPr="00AD2199">
        <w:rPr>
          <w:rFonts w:ascii="Palatino Linotype" w:hAnsi="Palatino Linotype" w:cs="Arial"/>
          <w:sz w:val="24"/>
          <w:szCs w:val="24"/>
        </w:rPr>
        <w:t xml:space="preserve"> que “la obligatoriedad de la norma depende de la validez de su justificación, que es, por consiguiente el fundamento de aquella”,</w:t>
      </w:r>
      <w:r w:rsidRPr="00AD2199">
        <w:rPr>
          <w:rStyle w:val="Refdenotaalpie"/>
          <w:rFonts w:ascii="Palatino Linotype" w:hAnsi="Palatino Linotype" w:cs="Arial"/>
          <w:sz w:val="24"/>
          <w:szCs w:val="24"/>
        </w:rPr>
        <w:footnoteReference w:id="4"/>
      </w:r>
      <w:r w:rsidRPr="00AD2199">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AD2199" w:rsidRDefault="0046491C" w:rsidP="00A16E7A">
      <w:pPr>
        <w:pStyle w:val="Prrafodelista"/>
        <w:spacing w:after="0" w:line="360" w:lineRule="auto"/>
        <w:jc w:val="both"/>
        <w:rPr>
          <w:rFonts w:ascii="Palatino Linotype" w:hAnsi="Palatino Linotype" w:cs="Arial"/>
          <w:sz w:val="24"/>
          <w:szCs w:val="24"/>
        </w:rPr>
      </w:pPr>
    </w:p>
    <w:p w:rsidR="0046491C" w:rsidRPr="00AD2199" w:rsidRDefault="0046491C" w:rsidP="0020569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 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w:t>
      </w:r>
      <w:r w:rsidRPr="00AD2199">
        <w:rPr>
          <w:rFonts w:ascii="Palatino Linotype" w:hAnsi="Palatino Linotype" w:cs="Arial"/>
          <w:sz w:val="24"/>
          <w:szCs w:val="24"/>
        </w:rPr>
        <w:lastRenderedPageBreak/>
        <w:t xml:space="preserve">o no a la obligación de protegerlos. Ésta puede caracterizarse como </w:t>
      </w:r>
      <w:r w:rsidRPr="00AD2199">
        <w:rPr>
          <w:rFonts w:ascii="Palatino Linotype" w:hAnsi="Palatino Linotype" w:cs="Arial"/>
          <w:b/>
          <w:sz w:val="24"/>
          <w:szCs w:val="24"/>
        </w:rPr>
        <w:t>el deber que tienen los órganos del Estado, dentro del margen de sus atribuciones, de prevenir violaciones a los derechos fundamentales,</w:t>
      </w:r>
      <w:r w:rsidRPr="00AD2199">
        <w:rPr>
          <w:rFonts w:ascii="Palatino Linotype" w:hAnsi="Palatino Linotype" w:cs="Arial"/>
          <w:sz w:val="24"/>
          <w:szCs w:val="24"/>
        </w:rPr>
        <w:t xml:space="preserve"> ya sea que provengan de una autoridad o de algún particular y, por ello, </w:t>
      </w:r>
      <w:r w:rsidRPr="00AD2199">
        <w:rPr>
          <w:rFonts w:ascii="Palatino Linotype" w:hAnsi="Palatino Linotype" w:cs="Arial"/>
          <w:b/>
          <w:sz w:val="24"/>
          <w:szCs w:val="24"/>
        </w:rPr>
        <w:t>debe contarse</w:t>
      </w:r>
      <w:r w:rsidRPr="00AD2199">
        <w:rPr>
          <w:rFonts w:ascii="Palatino Linotype" w:hAnsi="Palatino Linotype" w:cs="Arial"/>
          <w:sz w:val="24"/>
          <w:szCs w:val="24"/>
        </w:rPr>
        <w:t xml:space="preserve"> tanto </w:t>
      </w:r>
      <w:r w:rsidRPr="00AD2199">
        <w:rPr>
          <w:rFonts w:ascii="Palatino Linotype" w:hAnsi="Palatino Linotype" w:cs="Arial"/>
          <w:b/>
          <w:sz w:val="24"/>
          <w:szCs w:val="24"/>
        </w:rPr>
        <w:t>con mecanismos</w:t>
      </w:r>
      <w:r w:rsidRPr="00AD2199">
        <w:rPr>
          <w:rFonts w:ascii="Palatino Linotype" w:hAnsi="Palatino Linotype" w:cs="Arial"/>
          <w:sz w:val="24"/>
          <w:szCs w:val="24"/>
        </w:rPr>
        <w:t xml:space="preserve"> de vigilancia como </w:t>
      </w:r>
      <w:r w:rsidRPr="00AD2199">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AD2199">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AD2199" w:rsidRDefault="0046491C" w:rsidP="00E34F08">
      <w:pPr>
        <w:pStyle w:val="Prrafodelista"/>
        <w:spacing w:after="0" w:line="360" w:lineRule="auto"/>
        <w:ind w:left="426"/>
        <w:jc w:val="both"/>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w:t>
      </w:r>
      <w:r w:rsidRPr="00AD2199">
        <w:rPr>
          <w:rFonts w:ascii="Palatino Linotype" w:hAnsi="Palatino Linotype" w:cs="Arial"/>
          <w:sz w:val="24"/>
          <w:szCs w:val="24"/>
        </w:rPr>
        <w:lastRenderedPageBreak/>
        <w:t xml:space="preserve">alguno de los requerimientos solicitados, y de la respuesta ofrecida por parte de los </w:t>
      </w:r>
      <w:r w:rsidRPr="00AD2199">
        <w:rPr>
          <w:rFonts w:ascii="Palatino Linotype" w:hAnsi="Palatino Linotype" w:cs="Arial"/>
          <w:b/>
          <w:sz w:val="24"/>
          <w:szCs w:val="24"/>
        </w:rPr>
        <w:t>SUJETOS OBLIGADOS</w:t>
      </w:r>
      <w:r w:rsidRPr="00AD2199">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DF6F7E" w:rsidRPr="00AD2199" w:rsidRDefault="00DF6F7E" w:rsidP="00A16E7A">
      <w:pPr>
        <w:pStyle w:val="Prrafodelista"/>
        <w:spacing w:after="0" w:line="360" w:lineRule="auto"/>
        <w:ind w:left="0"/>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hanging="76"/>
        <w:jc w:val="both"/>
        <w:rPr>
          <w:rFonts w:ascii="Palatino Linotype" w:hAnsi="Palatino Linotype" w:cs="Arial"/>
          <w:sz w:val="24"/>
          <w:szCs w:val="24"/>
        </w:rPr>
      </w:pPr>
      <w:r w:rsidRPr="00AD2199">
        <w:rPr>
          <w:rFonts w:ascii="Palatino Linotype" w:hAnsi="Palatino Linotype" w:cs="Arial"/>
          <w:sz w:val="24"/>
          <w:szCs w:val="24"/>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AD2199">
        <w:rPr>
          <w:rFonts w:ascii="Palatino Linotype" w:hAnsi="Palatino Linotype" w:cs="Arial"/>
          <w:sz w:val="24"/>
          <w:szCs w:val="24"/>
        </w:rPr>
        <w:t>procedibilidad</w:t>
      </w:r>
      <w:proofErr w:type="spellEnd"/>
      <w:r w:rsidRPr="00AD2199">
        <w:rPr>
          <w:rFonts w:ascii="Palatino Linotype" w:hAnsi="Palatino Linotype" w:cs="Arial"/>
          <w:sz w:val="24"/>
          <w:szCs w:val="24"/>
        </w:rPr>
        <w:t>, ya que en todo momento nos encontramos ante un derecho más alto que, puede considerarse en los siguientes términos:</w:t>
      </w:r>
    </w:p>
    <w:p w:rsidR="0001046D" w:rsidRPr="00AD2199" w:rsidRDefault="0001046D" w:rsidP="00E34F08">
      <w:pPr>
        <w:pStyle w:val="Prrafodelista"/>
        <w:spacing w:after="0" w:line="360" w:lineRule="auto"/>
        <w:ind w:left="284"/>
        <w:jc w:val="both"/>
        <w:rPr>
          <w:rFonts w:ascii="Palatino Linotype" w:hAnsi="Palatino Linotype" w:cs="Arial"/>
          <w:sz w:val="24"/>
          <w:szCs w:val="24"/>
        </w:rPr>
      </w:pPr>
    </w:p>
    <w:p w:rsidR="0046491C" w:rsidRPr="00AD2199" w:rsidRDefault="0046491C" w:rsidP="00A16E7A">
      <w:pPr>
        <w:spacing w:after="0" w:line="360" w:lineRule="auto"/>
        <w:ind w:left="567" w:right="618"/>
        <w:jc w:val="both"/>
        <w:rPr>
          <w:rFonts w:ascii="Palatino Linotype" w:hAnsi="Palatino Linotype" w:cs="Arial"/>
          <w:i/>
          <w:sz w:val="24"/>
          <w:szCs w:val="24"/>
        </w:rPr>
      </w:pPr>
      <w:r w:rsidRPr="00AD2199">
        <w:rPr>
          <w:rFonts w:ascii="Palatino Linotype" w:hAnsi="Palatino Linotype" w:cs="Arial"/>
          <w:i/>
          <w:sz w:val="24"/>
          <w:szCs w:val="24"/>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w:t>
      </w:r>
      <w:r w:rsidRPr="00AD2199">
        <w:rPr>
          <w:rFonts w:ascii="Palatino Linotype" w:hAnsi="Palatino Linotype" w:cs="Arial"/>
          <w:i/>
          <w:sz w:val="24"/>
          <w:szCs w:val="24"/>
        </w:rPr>
        <w:lastRenderedPageBreak/>
        <w:t xml:space="preserve">producción del derecho, generados por la heterogeneidad y </w:t>
      </w:r>
      <w:proofErr w:type="spellStart"/>
      <w:r w:rsidRPr="00AD2199">
        <w:rPr>
          <w:rFonts w:ascii="Palatino Linotype" w:hAnsi="Palatino Linotype" w:cs="Arial"/>
          <w:i/>
          <w:sz w:val="24"/>
          <w:szCs w:val="24"/>
        </w:rPr>
        <w:t>ocasionalidad</w:t>
      </w:r>
      <w:proofErr w:type="spellEnd"/>
      <w:r w:rsidRPr="00AD2199">
        <w:rPr>
          <w:rFonts w:ascii="Palatino Linotype" w:hAnsi="Palatino Linotype" w:cs="Arial"/>
          <w:i/>
          <w:sz w:val="24"/>
          <w:szCs w:val="24"/>
        </w:rPr>
        <w:t xml:space="preserve"> de las presiones sociales que se ejercen sobre el mismo”.</w:t>
      </w:r>
      <w:r w:rsidRPr="00AD2199">
        <w:rPr>
          <w:rStyle w:val="Refdenotaalpie"/>
          <w:rFonts w:ascii="Palatino Linotype" w:hAnsi="Palatino Linotype" w:cs="Arial"/>
          <w:i/>
          <w:sz w:val="24"/>
          <w:szCs w:val="24"/>
        </w:rPr>
        <w:footnoteReference w:id="5"/>
      </w:r>
    </w:p>
    <w:p w:rsidR="009156AC" w:rsidRPr="00AD2199" w:rsidRDefault="009156AC" w:rsidP="00E34F08">
      <w:pPr>
        <w:spacing w:after="0" w:line="360" w:lineRule="auto"/>
        <w:ind w:left="1134" w:right="618"/>
        <w:jc w:val="both"/>
        <w:rPr>
          <w:rFonts w:ascii="Palatino Linotype" w:hAnsi="Palatino Linotype" w:cs="Arial"/>
          <w:i/>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AD2199" w:rsidRDefault="0046491C" w:rsidP="00315529">
      <w:pPr>
        <w:pStyle w:val="Prrafodelista"/>
        <w:spacing w:after="0" w:line="360" w:lineRule="auto"/>
        <w:ind w:left="0"/>
        <w:jc w:val="both"/>
        <w:rPr>
          <w:rFonts w:ascii="Palatino Linotype" w:hAnsi="Palatino Linotype" w:cs="Arial"/>
          <w:sz w:val="24"/>
          <w:szCs w:val="24"/>
        </w:rPr>
      </w:pPr>
    </w:p>
    <w:p w:rsidR="0046491C" w:rsidRPr="00AD2199" w:rsidRDefault="0046491C" w:rsidP="00A16E7A">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w:t>
      </w:r>
      <w:r w:rsidRPr="00AD2199">
        <w:rPr>
          <w:rFonts w:ascii="Palatino Linotype" w:hAnsi="Palatino Linotype" w:cs="Arial"/>
          <w:sz w:val="24"/>
          <w:szCs w:val="24"/>
        </w:rPr>
        <w:lastRenderedPageBreak/>
        <w:t>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F6F7E" w:rsidRPr="00AD2199" w:rsidRDefault="00DF6F7E" w:rsidP="00A16E7A">
      <w:pPr>
        <w:pStyle w:val="Prrafodelista"/>
        <w:spacing w:after="0" w:line="360" w:lineRule="auto"/>
        <w:ind w:left="0"/>
        <w:jc w:val="both"/>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346DBD" w:rsidRPr="00AD2199" w:rsidRDefault="00346DBD" w:rsidP="00315529">
      <w:pPr>
        <w:spacing w:line="360" w:lineRule="auto"/>
        <w:rPr>
          <w:rFonts w:ascii="Palatino Linotype" w:hAnsi="Palatino Linotype"/>
          <w:sz w:val="24"/>
          <w:szCs w:val="24"/>
        </w:rPr>
      </w:pPr>
    </w:p>
    <w:p w:rsidR="009156AC" w:rsidRPr="00AD2199" w:rsidRDefault="009156AC" w:rsidP="00315529">
      <w:pPr>
        <w:spacing w:line="360" w:lineRule="auto"/>
        <w:rPr>
          <w:rFonts w:ascii="Palatino Linotype" w:hAnsi="Palatino Linotype"/>
          <w:sz w:val="24"/>
          <w:szCs w:val="24"/>
        </w:rPr>
      </w:pPr>
    </w:p>
    <w:p w:rsidR="0046491C" w:rsidRPr="00AD2199" w:rsidRDefault="0046491C" w:rsidP="00315529">
      <w:pPr>
        <w:pStyle w:val="Sinespaciado"/>
        <w:spacing w:line="360" w:lineRule="auto"/>
        <w:jc w:val="center"/>
        <w:rPr>
          <w:rFonts w:ascii="Palatino Linotype" w:hAnsi="Palatino Linotype"/>
          <w:b/>
          <w:sz w:val="24"/>
          <w:szCs w:val="24"/>
        </w:rPr>
      </w:pPr>
      <w:r w:rsidRPr="00AD2199">
        <w:rPr>
          <w:rFonts w:ascii="Palatino Linotype" w:hAnsi="Palatino Linotype"/>
          <w:b/>
          <w:sz w:val="24"/>
          <w:szCs w:val="24"/>
        </w:rPr>
        <w:t>JOSÉ GUADALUPE LUNA HERNÁNDEZ</w:t>
      </w:r>
    </w:p>
    <w:p w:rsidR="0046491C" w:rsidRDefault="0046491C" w:rsidP="00315529">
      <w:pPr>
        <w:spacing w:line="360" w:lineRule="auto"/>
        <w:jc w:val="center"/>
        <w:rPr>
          <w:rFonts w:ascii="Palatino Linotype" w:hAnsi="Palatino Linotype"/>
          <w:b/>
          <w:sz w:val="24"/>
          <w:szCs w:val="24"/>
        </w:rPr>
      </w:pPr>
      <w:r w:rsidRPr="00AD2199">
        <w:rPr>
          <w:rFonts w:ascii="Palatino Linotype" w:hAnsi="Palatino Linotype"/>
          <w:b/>
          <w:sz w:val="24"/>
          <w:szCs w:val="24"/>
        </w:rPr>
        <w:t>COMISIONADO</w:t>
      </w:r>
    </w:p>
    <w:p w:rsidR="00A16E7A" w:rsidRPr="00AD2199" w:rsidRDefault="00A16E7A" w:rsidP="00315529">
      <w:pPr>
        <w:spacing w:line="360" w:lineRule="auto"/>
        <w:jc w:val="center"/>
        <w:rPr>
          <w:rFonts w:ascii="Palatino Linotype" w:hAnsi="Palatino Linotype"/>
          <w:sz w:val="24"/>
          <w:szCs w:val="24"/>
        </w:rPr>
      </w:pPr>
      <w:r>
        <w:rPr>
          <w:rFonts w:ascii="Palatino Linotype" w:hAnsi="Palatino Linotype"/>
          <w:b/>
          <w:sz w:val="24"/>
          <w:szCs w:val="24"/>
        </w:rPr>
        <w:t>(RÚBRICA)</w:t>
      </w:r>
    </w:p>
    <w:p w:rsidR="00B62486" w:rsidRPr="00AD2199" w:rsidRDefault="00B62486" w:rsidP="00315529">
      <w:pPr>
        <w:spacing w:line="360" w:lineRule="auto"/>
        <w:rPr>
          <w:rFonts w:ascii="Palatino Linotype" w:hAnsi="Palatino Linotype"/>
          <w:b/>
          <w:sz w:val="24"/>
          <w:szCs w:val="24"/>
        </w:rPr>
      </w:pPr>
    </w:p>
    <w:p w:rsidR="00575478" w:rsidRPr="00AD2199" w:rsidRDefault="00315529" w:rsidP="00A16E7A">
      <w:pPr>
        <w:spacing w:line="360" w:lineRule="auto"/>
        <w:jc w:val="right"/>
        <w:rPr>
          <w:rFonts w:ascii="Palatino Linotype" w:hAnsi="Palatino Linotype"/>
          <w:b/>
          <w:sz w:val="24"/>
          <w:szCs w:val="24"/>
        </w:rPr>
      </w:pPr>
      <w:r>
        <w:rPr>
          <w:rFonts w:ascii="Palatino Linotype" w:hAnsi="Palatino Linotype"/>
          <w:b/>
          <w:sz w:val="24"/>
          <w:szCs w:val="24"/>
        </w:rPr>
        <w:t>JGLH/</w:t>
      </w:r>
      <w:r w:rsidR="00A16E7A">
        <w:rPr>
          <w:rFonts w:ascii="Palatino Linotype" w:hAnsi="Palatino Linotype"/>
          <w:b/>
          <w:sz w:val="24"/>
          <w:szCs w:val="24"/>
        </w:rPr>
        <w:t>JTC</w:t>
      </w:r>
    </w:p>
    <w:sectPr w:rsidR="00575478" w:rsidRPr="00AD2199" w:rsidSect="00DA55B8">
      <w:headerReference w:type="even" r:id="rId13"/>
      <w:headerReference w:type="default" r:id="rId14"/>
      <w:footerReference w:type="even" r:id="rId15"/>
      <w:footerReference w:type="default" r:id="rId16"/>
      <w:headerReference w:type="first" r:id="rId17"/>
      <w:footerReference w:type="first" r:id="rId18"/>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BC8" w:rsidRDefault="00CF6BC8" w:rsidP="00E706DA">
      <w:pPr>
        <w:spacing w:after="0" w:line="240" w:lineRule="auto"/>
      </w:pPr>
      <w:r>
        <w:separator/>
      </w:r>
    </w:p>
  </w:endnote>
  <w:endnote w:type="continuationSeparator" w:id="0">
    <w:p w:rsidR="00CF6BC8" w:rsidRDefault="00CF6BC8"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8815E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8815E2">
              <w:rPr>
                <w:rFonts w:ascii="Palatino Linotype" w:hAnsi="Palatino Linotype"/>
                <w:b/>
                <w:bCs/>
                <w:noProof/>
                <w:sz w:val="20"/>
                <w:szCs w:val="20"/>
              </w:rPr>
              <w:t>12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8815E2">
              <w:rPr>
                <w:rFonts w:ascii="Palatino Linotype" w:hAnsi="Palatino Linotype"/>
                <w:b/>
                <w:bCs/>
                <w:noProof/>
                <w:sz w:val="20"/>
                <w:szCs w:val="20"/>
              </w:rPr>
              <w:t>17</w:t>
            </w:r>
            <w:r w:rsidRPr="0052203D">
              <w:rPr>
                <w:rFonts w:ascii="Palatino Linotype" w:hAnsi="Palatino Linotype"/>
                <w:b/>
                <w:bCs/>
                <w:sz w:val="20"/>
                <w:szCs w:val="20"/>
              </w:rPr>
              <w:fldChar w:fldCharType="end"/>
            </w:r>
          </w:p>
        </w:sdtContent>
      </w:sdt>
    </w:sdtContent>
  </w:sdt>
  <w:p w:rsidR="00951E8B" w:rsidRDefault="008815E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8815E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BC8" w:rsidRDefault="00CF6BC8" w:rsidP="00E706DA">
      <w:pPr>
        <w:spacing w:after="0" w:line="240" w:lineRule="auto"/>
      </w:pPr>
      <w:r>
        <w:separator/>
      </w:r>
    </w:p>
  </w:footnote>
  <w:footnote w:type="continuationSeparator" w:id="0">
    <w:p w:rsidR="00CF6BC8" w:rsidRDefault="00CF6BC8"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8815E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8815E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8815E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8815E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5">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77202FA"/>
    <w:multiLevelType w:val="hybridMultilevel"/>
    <w:tmpl w:val="A1EC72F8"/>
    <w:lvl w:ilvl="0" w:tplc="300CB33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6"/>
  </w:num>
  <w:num w:numId="5">
    <w:abstractNumId w:val="7"/>
  </w:num>
  <w:num w:numId="6">
    <w:abstractNumId w:val="9"/>
  </w:num>
  <w:num w:numId="7">
    <w:abstractNumId w:val="11"/>
  </w:num>
  <w:num w:numId="8">
    <w:abstractNumId w:val="10"/>
  </w:num>
  <w:num w:numId="9">
    <w:abstractNumId w:val="13"/>
  </w:num>
  <w:num w:numId="10">
    <w:abstractNumId w:val="1"/>
  </w:num>
  <w:num w:numId="11">
    <w:abstractNumId w:val="12"/>
  </w:num>
  <w:num w:numId="12">
    <w:abstractNumId w:val="5"/>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73F0D"/>
    <w:rsid w:val="000951B4"/>
    <w:rsid w:val="000A77B5"/>
    <w:rsid w:val="000A7B66"/>
    <w:rsid w:val="000F6CBB"/>
    <w:rsid w:val="00122625"/>
    <w:rsid w:val="00194B6A"/>
    <w:rsid w:val="001D3F34"/>
    <w:rsid w:val="0020315F"/>
    <w:rsid w:val="002036ED"/>
    <w:rsid w:val="00205699"/>
    <w:rsid w:val="00225026"/>
    <w:rsid w:val="00256D21"/>
    <w:rsid w:val="00260D6C"/>
    <w:rsid w:val="002620E9"/>
    <w:rsid w:val="00281310"/>
    <w:rsid w:val="002C1F75"/>
    <w:rsid w:val="00302832"/>
    <w:rsid w:val="00315529"/>
    <w:rsid w:val="00346DBD"/>
    <w:rsid w:val="00362BCA"/>
    <w:rsid w:val="00367E00"/>
    <w:rsid w:val="003705BB"/>
    <w:rsid w:val="003747A5"/>
    <w:rsid w:val="003D7B9E"/>
    <w:rsid w:val="00412952"/>
    <w:rsid w:val="00413496"/>
    <w:rsid w:val="00424DE3"/>
    <w:rsid w:val="00444048"/>
    <w:rsid w:val="0046491C"/>
    <w:rsid w:val="0048490F"/>
    <w:rsid w:val="00532410"/>
    <w:rsid w:val="00575478"/>
    <w:rsid w:val="00596A5B"/>
    <w:rsid w:val="005A3267"/>
    <w:rsid w:val="005F3760"/>
    <w:rsid w:val="00627EE5"/>
    <w:rsid w:val="00634736"/>
    <w:rsid w:val="00651380"/>
    <w:rsid w:val="006728FD"/>
    <w:rsid w:val="00673293"/>
    <w:rsid w:val="0069498B"/>
    <w:rsid w:val="006E2606"/>
    <w:rsid w:val="00717C0D"/>
    <w:rsid w:val="0072136B"/>
    <w:rsid w:val="0076241F"/>
    <w:rsid w:val="00770016"/>
    <w:rsid w:val="00790E37"/>
    <w:rsid w:val="007A7FAD"/>
    <w:rsid w:val="007E2CF8"/>
    <w:rsid w:val="00814E97"/>
    <w:rsid w:val="00823722"/>
    <w:rsid w:val="008361CA"/>
    <w:rsid w:val="00850252"/>
    <w:rsid w:val="00856FA1"/>
    <w:rsid w:val="008815E2"/>
    <w:rsid w:val="008822B3"/>
    <w:rsid w:val="008B03B6"/>
    <w:rsid w:val="008C2FF2"/>
    <w:rsid w:val="008D4B3A"/>
    <w:rsid w:val="008E01AC"/>
    <w:rsid w:val="008E1DCC"/>
    <w:rsid w:val="008F3E81"/>
    <w:rsid w:val="00900E75"/>
    <w:rsid w:val="00902248"/>
    <w:rsid w:val="009156AC"/>
    <w:rsid w:val="00937D7D"/>
    <w:rsid w:val="0094239C"/>
    <w:rsid w:val="009660BD"/>
    <w:rsid w:val="009C4EF6"/>
    <w:rsid w:val="00A16E7A"/>
    <w:rsid w:val="00A63717"/>
    <w:rsid w:val="00A66037"/>
    <w:rsid w:val="00AA49F3"/>
    <w:rsid w:val="00AB023D"/>
    <w:rsid w:val="00AB126B"/>
    <w:rsid w:val="00AC381E"/>
    <w:rsid w:val="00AD2199"/>
    <w:rsid w:val="00AE4797"/>
    <w:rsid w:val="00AF73BC"/>
    <w:rsid w:val="00B120CA"/>
    <w:rsid w:val="00B51EEB"/>
    <w:rsid w:val="00B62486"/>
    <w:rsid w:val="00BC7B0C"/>
    <w:rsid w:val="00BF3534"/>
    <w:rsid w:val="00C80F13"/>
    <w:rsid w:val="00CC2C65"/>
    <w:rsid w:val="00CE0823"/>
    <w:rsid w:val="00CF6BC8"/>
    <w:rsid w:val="00D33AF9"/>
    <w:rsid w:val="00D363F7"/>
    <w:rsid w:val="00D72985"/>
    <w:rsid w:val="00D7508B"/>
    <w:rsid w:val="00DF6F7E"/>
    <w:rsid w:val="00E34F08"/>
    <w:rsid w:val="00E61AB8"/>
    <w:rsid w:val="00E706DA"/>
    <w:rsid w:val="00E83E93"/>
    <w:rsid w:val="00E90EB5"/>
    <w:rsid w:val="00E94FBF"/>
    <w:rsid w:val="00ED57EE"/>
    <w:rsid w:val="00EF0C2D"/>
    <w:rsid w:val="00F25783"/>
    <w:rsid w:val="00F45161"/>
    <w:rsid w:val="00F46E78"/>
    <w:rsid w:val="00F857BC"/>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83E93"/>
    <w:pPr>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89526699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65955.pag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aimex.org.mx/saimex/solicitud/downloadAttach/565954.page" TargetMode="External"/><Relationship Id="rId12" Type="http://schemas.openxmlformats.org/officeDocument/2006/relationships/hyperlink" Target="https://www.saimex.org.mx/saimex/solicitud/downloadAttach/565959.pag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565958.pag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aimex.org.mx/saimex/solicitud/downloadAttach/565957.pag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aimex.org.mx/saimex/solicitud/downloadAttach/565956.page"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3927</Words>
  <Characters>21604</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2018-02-08T00:18:00Z</cp:lastPrinted>
  <dcterms:created xsi:type="dcterms:W3CDTF">2018-11-05T20:21:00Z</dcterms:created>
  <dcterms:modified xsi:type="dcterms:W3CDTF">2018-12-18T02:30:00Z</dcterms:modified>
</cp:coreProperties>
</file>